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8A0" w:rsidRDefault="007310A8">
      <w:pPr>
        <w:pStyle w:val="20"/>
        <w:framePr w:w="10120" w:h="2254" w:hRule="exact" w:wrap="around" w:vAnchor="page" w:hAnchor="page" w:x="908" w:y="590"/>
        <w:shd w:val="clear" w:color="auto" w:fill="auto"/>
        <w:ind w:left="40"/>
      </w:pPr>
      <w:bookmarkStart w:id="0" w:name="_GoBack"/>
      <w:bookmarkEnd w:id="0"/>
      <w:r>
        <w:t>ГОСУДАРСТВЕННАЯ ДУМА ФЕДЕРАЛЬНОГО СОБРАНИЯ РОССИЙСКОЙ ФЕДЕРАЦИИ</w:t>
      </w:r>
    </w:p>
    <w:p w:rsidR="009648A0" w:rsidRDefault="007310A8">
      <w:pPr>
        <w:pStyle w:val="30"/>
        <w:framePr w:w="10120" w:h="2254" w:hRule="exact" w:wrap="around" w:vAnchor="page" w:hAnchor="page" w:x="908" w:y="590"/>
        <w:shd w:val="clear" w:color="auto" w:fill="auto"/>
        <w:spacing w:after="192" w:line="170" w:lineRule="exact"/>
        <w:ind w:left="40"/>
      </w:pPr>
      <w:r>
        <w:t>СЕДЬМОГО СОЗЫВА</w:t>
      </w:r>
    </w:p>
    <w:p w:rsidR="009648A0" w:rsidRDefault="007310A8">
      <w:pPr>
        <w:pStyle w:val="40"/>
        <w:framePr w:w="10120" w:h="2254" w:hRule="exact" w:wrap="around" w:vAnchor="page" w:hAnchor="page" w:x="908" w:y="590"/>
        <w:shd w:val="clear" w:color="auto" w:fill="auto"/>
        <w:spacing w:before="0" w:after="196" w:line="260" w:lineRule="exact"/>
        <w:ind w:left="500"/>
      </w:pPr>
      <w:r>
        <w:t>КОМИТЕТ ПО ОБОРОНЕ</w:t>
      </w:r>
    </w:p>
    <w:p w:rsidR="009648A0" w:rsidRDefault="007310A8">
      <w:pPr>
        <w:pStyle w:val="30"/>
        <w:framePr w:w="10120" w:h="2254" w:hRule="exact" w:wrap="around" w:vAnchor="page" w:hAnchor="page" w:x="908" w:y="590"/>
        <w:shd w:val="clear" w:color="auto" w:fill="auto"/>
        <w:spacing w:after="274" w:line="170" w:lineRule="exact"/>
        <w:ind w:left="40"/>
      </w:pPr>
      <w:r>
        <w:t xml:space="preserve">ул. Охотный ряд, д. 1, Москва, 103265 Тел. 8(495) 692-77-24 Факс 8(495) 692-95-77 </w:t>
      </w:r>
      <w:r>
        <w:rPr>
          <w:lang w:val="en-US" w:eastAsia="en-US" w:bidi="en-US"/>
        </w:rPr>
        <w:t>E</w:t>
      </w:r>
      <w:r w:rsidRPr="007643F4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7643F4">
        <w:rPr>
          <w:lang w:eastAsia="en-US" w:bidi="en-US"/>
        </w:rPr>
        <w:t xml:space="preserve">: </w:t>
      </w:r>
      <w:hyperlink r:id="rId6" w:history="1">
        <w:r>
          <w:rPr>
            <w:rStyle w:val="a3"/>
            <w:lang w:val="en-US" w:eastAsia="en-US" w:bidi="en-US"/>
          </w:rPr>
          <w:t>cdefence</w:t>
        </w:r>
        <w:r w:rsidRPr="007643F4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duma</w:t>
        </w:r>
        <w:r w:rsidRPr="007643F4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gov</w:t>
        </w:r>
        <w:r w:rsidRPr="007643F4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</w:p>
    <w:p w:rsidR="009648A0" w:rsidRDefault="007310A8">
      <w:pPr>
        <w:pStyle w:val="10"/>
        <w:framePr w:w="10120" w:h="2254" w:hRule="exact" w:wrap="around" w:vAnchor="page" w:hAnchor="page" w:x="908" w:y="590"/>
        <w:shd w:val="clear" w:color="auto" w:fill="auto"/>
        <w:tabs>
          <w:tab w:val="right" w:pos="2999"/>
          <w:tab w:val="left" w:leader="underscore" w:pos="3384"/>
          <w:tab w:val="right" w:pos="6560"/>
          <w:tab w:val="right" w:pos="7712"/>
        </w:tabs>
        <w:spacing w:before="0" w:after="0" w:line="260" w:lineRule="exact"/>
        <w:ind w:left="40"/>
      </w:pPr>
      <w:bookmarkStart w:id="1" w:name="bookmark0"/>
      <w:r>
        <w:t xml:space="preserve"> </w:t>
      </w:r>
      <w:r>
        <w:rPr>
          <w:rStyle w:val="11"/>
        </w:rPr>
        <w:t xml:space="preserve">2 </w:t>
      </w:r>
      <w:r>
        <w:rPr>
          <w:rStyle w:val="11"/>
        </w:rPr>
        <w:t>5 НОЯ 2019</w:t>
      </w:r>
      <w:r>
        <w:rPr>
          <w:rStyle w:val="12"/>
        </w:rPr>
        <w:tab/>
      </w:r>
      <w:r>
        <w:rPr>
          <w:rStyle w:val="1TimesNewRoman10pt0pt100"/>
          <w:rFonts w:eastAsia="Franklin Gothic Medium Cond"/>
        </w:rPr>
        <w:t>201</w:t>
      </w:r>
      <w:r>
        <w:rPr>
          <w:rStyle w:val="1CordiaUPC95pt0pt100"/>
        </w:rPr>
        <w:tab/>
      </w:r>
      <w:r>
        <w:rPr>
          <w:rStyle w:val="1TimesNewRoman85pt0pt100"/>
          <w:rFonts w:eastAsia="Franklin Gothic Medium Cond"/>
        </w:rPr>
        <w:t>г.</w:t>
      </w:r>
      <w:r>
        <w:rPr>
          <w:rStyle w:val="1TimesNewRoman85pt0pt100"/>
          <w:rFonts w:eastAsia="Franklin Gothic Medium Cond"/>
        </w:rPr>
        <w:tab/>
      </w:r>
      <w:r>
        <w:t>№</w:t>
      </w:r>
      <w:r>
        <w:tab/>
      </w:r>
      <w:r>
        <w:rPr>
          <w:rStyle w:val="1TimesNewRoman10pt0pt1000"/>
          <w:rFonts w:eastAsia="Franklin Gothic Medium Cond"/>
        </w:rPr>
        <w:t>3</w:t>
      </w:r>
      <w:r>
        <w:rPr>
          <w:rStyle w:val="1CordiaUPC95pt0pt1000"/>
        </w:rPr>
        <w:t>.</w:t>
      </w:r>
      <w:r>
        <w:rPr>
          <w:rStyle w:val="1TimesNewRoman10pt0pt1000"/>
          <w:rFonts w:eastAsia="Franklin Gothic Medium Cond"/>
        </w:rPr>
        <w:t>14</w:t>
      </w:r>
      <w:r>
        <w:rPr>
          <w:rStyle w:val="1CordiaUPC95pt0pt1000"/>
        </w:rPr>
        <w:t>-</w:t>
      </w:r>
      <w:bookmarkEnd w:id="1"/>
    </w:p>
    <w:p w:rsidR="009648A0" w:rsidRDefault="007310A8">
      <w:pPr>
        <w:pStyle w:val="40"/>
        <w:framePr w:w="10120" w:h="838" w:hRule="exact" w:wrap="around" w:vAnchor="page" w:hAnchor="page" w:x="908" w:y="3257"/>
        <w:shd w:val="clear" w:color="auto" w:fill="auto"/>
        <w:spacing w:before="0" w:after="238" w:line="260" w:lineRule="exact"/>
        <w:ind w:left="5780"/>
        <w:jc w:val="left"/>
      </w:pPr>
      <w:r>
        <w:t>А.Б.НАСИБУЛИНУ</w:t>
      </w:r>
    </w:p>
    <w:p w:rsidR="009648A0" w:rsidRDefault="007310A8">
      <w:pPr>
        <w:pStyle w:val="13"/>
        <w:framePr w:w="10120" w:h="838" w:hRule="exact" w:wrap="around" w:vAnchor="page" w:hAnchor="page" w:x="908" w:y="3257"/>
        <w:shd w:val="clear" w:color="auto" w:fill="auto"/>
        <w:spacing w:before="0" w:after="0" w:line="260" w:lineRule="exact"/>
        <w:ind w:left="5780"/>
      </w:pPr>
      <w:hyperlink r:id="rId7" w:history="1">
        <w:r>
          <w:rPr>
            <w:rStyle w:val="a3"/>
            <w:lang w:val="en-US" w:eastAsia="en-US" w:bidi="en-US"/>
          </w:rPr>
          <w:t>nasibula</w:t>
        </w:r>
        <w:r w:rsidRPr="007643F4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mail</w:t>
        </w:r>
        <w:r w:rsidRPr="007643F4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</w:p>
    <w:p w:rsidR="009648A0" w:rsidRDefault="007310A8">
      <w:pPr>
        <w:pStyle w:val="40"/>
        <w:framePr w:w="10120" w:h="9694" w:hRule="exact" w:wrap="around" w:vAnchor="page" w:hAnchor="page" w:x="908" w:y="5270"/>
        <w:shd w:val="clear" w:color="auto" w:fill="auto"/>
        <w:spacing w:before="0" w:after="160" w:line="260" w:lineRule="exact"/>
        <w:ind w:right="40"/>
      </w:pPr>
      <w:r>
        <w:t>Уважаемый Ярулла Латфулович!</w:t>
      </w:r>
    </w:p>
    <w:p w:rsidR="009648A0" w:rsidRDefault="007310A8">
      <w:pPr>
        <w:pStyle w:val="13"/>
        <w:framePr w:w="10120" w:h="9694" w:hRule="exact" w:wrap="around" w:vAnchor="page" w:hAnchor="page" w:x="908" w:y="5270"/>
        <w:shd w:val="clear" w:color="auto" w:fill="auto"/>
        <w:spacing w:before="0" w:after="0" w:line="432" w:lineRule="exact"/>
        <w:ind w:left="360" w:right="300" w:firstLine="700"/>
        <w:jc w:val="both"/>
      </w:pPr>
      <w:r>
        <w:t xml:space="preserve">Ваше обращение по вопросу пенсионного обеспечения граждан, уволенных с военной службы, рассмотрено в Комитете Государственной Думы </w:t>
      </w:r>
      <w:r>
        <w:t>по обороне.</w:t>
      </w:r>
    </w:p>
    <w:p w:rsidR="009648A0" w:rsidRDefault="007310A8">
      <w:pPr>
        <w:pStyle w:val="13"/>
        <w:framePr w:w="10120" w:h="9694" w:hRule="exact" w:wrap="around" w:vAnchor="page" w:hAnchor="page" w:x="908" w:y="5270"/>
        <w:shd w:val="clear" w:color="auto" w:fill="auto"/>
        <w:spacing w:before="0" w:after="0" w:line="432" w:lineRule="exact"/>
        <w:ind w:left="360" w:right="300" w:firstLine="700"/>
        <w:jc w:val="both"/>
      </w:pPr>
      <w:r>
        <w:t>Пенсии лицам, уволенным с военной службы, и членам их семей назначаются в порядке, предусмотренном Законом Российской Федерации от 12 февраля 1993 года №4468-1 "О пенсионном обеспечении лиц, проходивших военную службу, службу в органах внутренн</w:t>
      </w:r>
      <w:r>
        <w:t>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и их семей" (далее - Зак</w:t>
      </w:r>
      <w:r>
        <w:t>он № 4468-1).</w:t>
      </w:r>
    </w:p>
    <w:p w:rsidR="009648A0" w:rsidRDefault="007310A8">
      <w:pPr>
        <w:pStyle w:val="13"/>
        <w:framePr w:w="10120" w:h="9694" w:hRule="exact" w:wrap="around" w:vAnchor="page" w:hAnchor="page" w:x="908" w:y="5270"/>
        <w:shd w:val="clear" w:color="auto" w:fill="auto"/>
        <w:spacing w:before="0" w:after="0" w:line="432" w:lineRule="exact"/>
        <w:ind w:left="360" w:right="300" w:firstLine="700"/>
        <w:jc w:val="both"/>
      </w:pPr>
      <w:r>
        <w:t xml:space="preserve">Статьей 43 Закона № 4468-1 предусмотрено, что пенсии, назначаемые лицам, уволенным с военной службы и их семьям, исчисляются из денежного довольствия военнослужащих. Для исчисления им пенсии учитываются в порядке, определяемом Правительством </w:t>
      </w:r>
      <w:r>
        <w:t>Российской Федерации, оклады по должности, воинскому званию (без учета повышения окладов за службу в отдаленных, высокогорных местностях и в других особых условиях) и ежемесячная надбавка за выслугу лет, включая выплаты в связи с индексацией денежного дово</w:t>
      </w:r>
      <w:r>
        <w:t>льствия.</w:t>
      </w:r>
    </w:p>
    <w:p w:rsidR="009648A0" w:rsidRDefault="007310A8">
      <w:pPr>
        <w:pStyle w:val="13"/>
        <w:framePr w:w="10120" w:h="9694" w:hRule="exact" w:wrap="around" w:vAnchor="page" w:hAnchor="page" w:x="908" w:y="5270"/>
        <w:shd w:val="clear" w:color="auto" w:fill="auto"/>
        <w:spacing w:before="0" w:after="0" w:line="432" w:lineRule="exact"/>
        <w:ind w:left="360" w:right="300" w:firstLine="700"/>
        <w:jc w:val="both"/>
      </w:pPr>
      <w:r>
        <w:t>Согласно части второй статьи 43 Закона № 4468-1 с 1 января 2012 года денежное довольствие, учитываемое при исчислении пенсии, был установлен</w:t>
      </w:r>
    </w:p>
    <w:p w:rsidR="009648A0" w:rsidRDefault="007310A8">
      <w:pPr>
        <w:pStyle w:val="30"/>
        <w:framePr w:wrap="around" w:vAnchor="page" w:hAnchor="page" w:x="908" w:y="15374"/>
        <w:shd w:val="clear" w:color="auto" w:fill="auto"/>
        <w:spacing w:after="0" w:line="170" w:lineRule="exact"/>
        <w:ind w:left="40"/>
        <w:jc w:val="both"/>
      </w:pPr>
      <w:r>
        <w:t>При ответе просьба ссылаться на наш исходящий номер.</w:t>
      </w:r>
    </w:p>
    <w:p w:rsidR="009648A0" w:rsidRDefault="009648A0">
      <w:pPr>
        <w:rPr>
          <w:sz w:val="2"/>
          <w:szCs w:val="2"/>
        </w:rPr>
        <w:sectPr w:rsidR="009648A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9648A0" w:rsidRDefault="007310A8">
      <w:pPr>
        <w:pStyle w:val="a6"/>
        <w:framePr w:w="9590" w:h="306" w:hRule="exact" w:wrap="around" w:vAnchor="page" w:hAnchor="page" w:x="1173" w:y="388"/>
        <w:shd w:val="clear" w:color="auto" w:fill="auto"/>
        <w:ind w:left="80"/>
      </w:pPr>
      <w:r>
        <w:lastRenderedPageBreak/>
        <w:t>2</w:t>
      </w:r>
    </w:p>
    <w:p w:rsidR="009648A0" w:rsidRDefault="007310A8">
      <w:pPr>
        <w:pStyle w:val="13"/>
        <w:framePr w:w="9540" w:h="14393" w:hRule="exact" w:wrap="around" w:vAnchor="page" w:hAnchor="page" w:x="1198" w:y="661"/>
        <w:shd w:val="clear" w:color="auto" w:fill="auto"/>
        <w:spacing w:before="0" w:after="0" w:line="432" w:lineRule="exact"/>
        <w:ind w:left="20" w:right="40"/>
        <w:jc w:val="both"/>
      </w:pPr>
      <w:r>
        <w:t xml:space="preserve">в размере 54 процентов. В </w:t>
      </w:r>
      <w:r>
        <w:t>дальнейшем, начиная с 1 января 2013 года, в соответствии с пунктом "б" статьи 49 Закона № 4468-1 осуществляется ежегодный пересмотр пенсий уволенным военнослужащим с учетом увеличения на 2 процента денежного довольствия, учитываемого для исчисления пенсий,</w:t>
      </w:r>
      <w:r>
        <w:t xml:space="preserve"> установленного с 1 января 2012 года в размере 54 процентов, до достижения 100 процентов его размера.</w:t>
      </w:r>
    </w:p>
    <w:p w:rsidR="009648A0" w:rsidRDefault="007310A8">
      <w:pPr>
        <w:pStyle w:val="13"/>
        <w:framePr w:w="9540" w:h="14393" w:hRule="exact" w:wrap="around" w:vAnchor="page" w:hAnchor="page" w:x="1198" w:y="661"/>
        <w:shd w:val="clear" w:color="auto" w:fill="auto"/>
        <w:spacing w:before="0" w:after="0" w:line="432" w:lineRule="exact"/>
        <w:ind w:left="20" w:right="40" w:firstLine="720"/>
        <w:jc w:val="both"/>
      </w:pPr>
      <w:r>
        <w:t xml:space="preserve">Таким образом, размер денежного довольствия, учитываемого при исчислении "военной” пенсии, в 2020 году должен был достигнуть 70%. Однако, уже с 1 октября </w:t>
      </w:r>
      <w:r>
        <w:t>2019 года установленный размер денежного довольствия, учитываемого при исчислении пенсии составил 73,68%.</w:t>
      </w:r>
    </w:p>
    <w:p w:rsidR="009648A0" w:rsidRDefault="007310A8">
      <w:pPr>
        <w:pStyle w:val="13"/>
        <w:framePr w:w="9540" w:h="14393" w:hRule="exact" w:wrap="around" w:vAnchor="page" w:hAnchor="page" w:x="1198" w:y="661"/>
        <w:shd w:val="clear" w:color="auto" w:fill="auto"/>
        <w:spacing w:before="0" w:after="0" w:line="432" w:lineRule="exact"/>
        <w:ind w:left="20" w:right="40" w:firstLine="720"/>
        <w:jc w:val="both"/>
      </w:pPr>
      <w:r>
        <w:t xml:space="preserve">Правомерность применения нового порядка исчисления пенсии была подтверждена Конституционным Судом Российской, который установил, что положения части </w:t>
      </w:r>
      <w:r>
        <w:t>второй статьи 43 Закона № 4468-1 не противоречат Конституции Российской Федерации, поскольку применяемые с 1 января 2012 года правила исчисления пенсий предусматривают механизм поэтапного ежегодного повышения величины денежного довольствия, учитываемой при</w:t>
      </w:r>
      <w:r>
        <w:t xml:space="preserve"> исчислении пенсии лицам, проходившим военную службу, и членам их семей, и направлены на увеличение размеров таких пенсий, а также подтвердил отсутствие каких либо ущемлений прав военных пенсионеров и членов их семей со стороны государства (Определения Кон</w:t>
      </w:r>
      <w:r>
        <w:t>ституционного Суда Российской Федерации от 24 сентября 2012 г. № 1800-0, от 24 декабря 2012 г. №2418-0 и др.).</w:t>
      </w:r>
    </w:p>
    <w:p w:rsidR="009648A0" w:rsidRDefault="007310A8">
      <w:pPr>
        <w:pStyle w:val="13"/>
        <w:framePr w:w="9540" w:h="14393" w:hRule="exact" w:wrap="around" w:vAnchor="page" w:hAnchor="page" w:x="1198" w:y="661"/>
        <w:shd w:val="clear" w:color="auto" w:fill="auto"/>
        <w:spacing w:before="0" w:after="0" w:line="432" w:lineRule="exact"/>
        <w:ind w:left="20" w:right="40" w:firstLine="720"/>
        <w:jc w:val="both"/>
      </w:pPr>
      <w:r>
        <w:t>При этом, в условиях длительного отсутствия индексации окладов денежного содержания военнослужащих (с 2012 по 2017 года включительно) новый поряд</w:t>
      </w:r>
      <w:r>
        <w:t>ок исчисления пенсий позволил обеспечить в указанный период реальный рост размеров "военных" пенсий на 33,7 процента, за счет изменения опережающими темпами - более чем на 2 процента в год, так называемого "понижающего коэффициента".</w:t>
      </w:r>
    </w:p>
    <w:p w:rsidR="009648A0" w:rsidRDefault="007310A8">
      <w:pPr>
        <w:pStyle w:val="13"/>
        <w:framePr w:w="9540" w:h="14393" w:hRule="exact" w:wrap="around" w:vAnchor="page" w:hAnchor="page" w:x="1198" w:y="661"/>
        <w:shd w:val="clear" w:color="auto" w:fill="auto"/>
        <w:spacing w:before="0" w:after="0" w:line="432" w:lineRule="exact"/>
        <w:ind w:left="20" w:right="40" w:firstLine="720"/>
        <w:jc w:val="both"/>
      </w:pPr>
      <w:r>
        <w:t>Комитет Государственно</w:t>
      </w:r>
      <w:r>
        <w:t>й Думы по обороне в своих заключениях на законопроекты о федеральном бюджете неоднократно указывал на необходимость дополнительного повышения денежного довольствия военнослужащих и пенсий граждан, уволенных с военной службы, а так же на необходимость выпол</w:t>
      </w:r>
      <w:r>
        <w:t>нения в полном объеме требований подпунктом</w:t>
      </w:r>
    </w:p>
    <w:p w:rsidR="009648A0" w:rsidRDefault="009648A0">
      <w:pPr>
        <w:rPr>
          <w:sz w:val="2"/>
          <w:szCs w:val="2"/>
        </w:rPr>
        <w:sectPr w:rsidR="009648A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9648A0" w:rsidRDefault="007310A8">
      <w:pPr>
        <w:pStyle w:val="a6"/>
        <w:framePr w:w="9583" w:h="309" w:hRule="exact" w:wrap="around" w:vAnchor="page" w:hAnchor="page" w:x="1176" w:y="388"/>
        <w:shd w:val="clear" w:color="auto" w:fill="auto"/>
        <w:ind w:left="60"/>
      </w:pPr>
      <w:r>
        <w:lastRenderedPageBreak/>
        <w:t>3</w:t>
      </w:r>
    </w:p>
    <w:p w:rsidR="009648A0" w:rsidRDefault="007310A8">
      <w:pPr>
        <w:pStyle w:val="13"/>
        <w:framePr w:w="9533" w:h="14389" w:hRule="exact" w:wrap="around" w:vAnchor="page" w:hAnchor="page" w:x="1202" w:y="658"/>
        <w:shd w:val="clear" w:color="auto" w:fill="auto"/>
        <w:spacing w:before="0" w:after="0" w:line="432" w:lineRule="exact"/>
        <w:ind w:left="20" w:right="40"/>
        <w:jc w:val="both"/>
      </w:pPr>
      <w:r>
        <w:t>"г" пункта 1 Указа Президента Российской Федерации от 7 мая 2012 года № 604 "О дальнейшем совершенствовании военной службы в Российской Федерации” (далее - Указ № 604), которым Правительст</w:t>
      </w:r>
      <w:r>
        <w:t>ву Российской Федерации поручено обеспечить ежегодное увеличение пенсий гражданам, уволенным с военной службы, не менее чем на 2 процента сверх уровня инфляции.</w:t>
      </w:r>
    </w:p>
    <w:p w:rsidR="009648A0" w:rsidRDefault="007310A8">
      <w:pPr>
        <w:pStyle w:val="13"/>
        <w:framePr w:w="9533" w:h="14389" w:hRule="exact" w:wrap="around" w:vAnchor="page" w:hAnchor="page" w:x="1202" w:y="658"/>
        <w:shd w:val="clear" w:color="auto" w:fill="auto"/>
        <w:spacing w:before="0" w:after="0" w:line="432" w:lineRule="exact"/>
        <w:ind w:left="20" w:right="40" w:firstLine="700"/>
        <w:jc w:val="both"/>
      </w:pPr>
      <w:r>
        <w:t xml:space="preserve">В соответствии с федеральными законами от 29 ноября 2018 года № 459-ФЗ "О федеральном бюджете </w:t>
      </w:r>
      <w:r>
        <w:t>на 2019 год и плановый период 2020 и 2021 годов" и от 11 декабря 2018 года № 260-ФЗ "О приостановлении действия части второй статьи 43 Закона Российской Федерации "О пенсионном обеспечении лиц, проходивших военную службу..." с 1 октября 2019 года размеры п</w:t>
      </w:r>
      <w:r>
        <w:t>енсий лиц, уволенных с военной службы, и членов их семей были проиндексированы на 6,3 процента, в том числе и в связи с увеличением на 2 процента размера денежного довольствия, учитываемого при исчислении пенсий, установленного частью второй статьи 43 Зако</w:t>
      </w:r>
      <w:r>
        <w:t>на № 4468-1.</w:t>
      </w:r>
    </w:p>
    <w:p w:rsidR="009648A0" w:rsidRDefault="007310A8">
      <w:pPr>
        <w:pStyle w:val="13"/>
        <w:framePr w:w="9533" w:h="14389" w:hRule="exact" w:wrap="around" w:vAnchor="page" w:hAnchor="page" w:x="1202" w:y="658"/>
        <w:shd w:val="clear" w:color="auto" w:fill="auto"/>
        <w:spacing w:before="0" w:after="0" w:line="432" w:lineRule="exact"/>
        <w:ind w:left="20" w:right="40" w:firstLine="700"/>
        <w:jc w:val="both"/>
      </w:pPr>
      <w:r>
        <w:t>При рассмотрении в Г осударственной Думе законопроекта о приостановлении действия статьи 43 Закона № 4468-1 до 1 января 2021 года Комитеты соисполнители Государственной Думы (Комитет Государственной Думы по государственному строительству и зак</w:t>
      </w:r>
      <w:r>
        <w:t>онодательству, Комитет по безопасности и противодействию коррупции, Комитет по труду, социальной политике и делам ветеранов), а так же Комитет Совета Федерации по обороне и безопасности поддержали его принятие.</w:t>
      </w:r>
    </w:p>
    <w:p w:rsidR="009648A0" w:rsidRDefault="007310A8">
      <w:pPr>
        <w:pStyle w:val="13"/>
        <w:framePr w:w="9533" w:h="14389" w:hRule="exact" w:wrap="around" w:vAnchor="page" w:hAnchor="page" w:x="1202" w:y="658"/>
        <w:shd w:val="clear" w:color="auto" w:fill="auto"/>
        <w:spacing w:before="0" w:after="0" w:line="432" w:lineRule="exact"/>
        <w:ind w:left="20" w:right="40" w:firstLine="700"/>
        <w:jc w:val="both"/>
      </w:pPr>
      <w:r>
        <w:t>Наряду с этим, все заинтересованные министерс</w:t>
      </w:r>
      <w:r>
        <w:t>тва и ведомства (Минобороны России, МВД России, ФСБ России, ФСИН России, МЧС России, СК России, Главная военная прокуратура) которые осуществляют пенсионное обеспечения граждан, уволенных с военной и приравненной к ней службы, а так же Счетная палата Росси</w:t>
      </w:r>
      <w:r>
        <w:t>йской Федерации при рассмотрении законопроекта о приостановлении действия статьи 43 Закона № 4468-1 так же поддержали законопроект и выразили свое согласие с предложенными Министерством финансов Российской Федерации порядком и сроками поэтапного увеличения</w:t>
      </w:r>
      <w:r>
        <w:t xml:space="preserve"> денежного довольствия военнослужащих и пенсий граждан, уволенных с военной службы.</w:t>
      </w:r>
    </w:p>
    <w:p w:rsidR="009648A0" w:rsidRDefault="009648A0">
      <w:pPr>
        <w:rPr>
          <w:sz w:val="2"/>
          <w:szCs w:val="2"/>
        </w:rPr>
        <w:sectPr w:rsidR="009648A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9648A0" w:rsidRDefault="007310A8">
      <w:pPr>
        <w:pStyle w:val="a6"/>
        <w:framePr w:w="9540" w:h="302" w:hRule="exact" w:wrap="around" w:vAnchor="page" w:hAnchor="page" w:x="1198" w:y="388"/>
        <w:shd w:val="clear" w:color="auto" w:fill="auto"/>
        <w:ind w:left="20"/>
      </w:pPr>
      <w:r>
        <w:lastRenderedPageBreak/>
        <w:t>4</w:t>
      </w:r>
    </w:p>
    <w:p w:rsidR="009648A0" w:rsidRDefault="007310A8">
      <w:pPr>
        <w:pStyle w:val="13"/>
        <w:framePr w:w="9490" w:h="8169" w:hRule="exact" w:wrap="around" w:vAnchor="page" w:hAnchor="page" w:x="1223" w:y="654"/>
        <w:shd w:val="clear" w:color="auto" w:fill="auto"/>
        <w:tabs>
          <w:tab w:val="left" w:pos="4151"/>
        </w:tabs>
        <w:spacing w:before="0" w:after="0" w:line="432" w:lineRule="exact"/>
        <w:ind w:right="20" w:firstLine="720"/>
        <w:jc w:val="both"/>
      </w:pPr>
      <w:r>
        <w:t>Законопроект о приостановлении действия статьи 43 Закона № 4468-1</w:t>
      </w:r>
      <w:r>
        <w:br/>
        <w:t>поддержали многие региональные законодательные собрания (Камчатского</w:t>
      </w:r>
      <w:r>
        <w:br/>
        <w:t>края, Пензенс</w:t>
      </w:r>
      <w:r>
        <w:t>кой области, Санкт-Петербурга, Краснодарского Края) и</w:t>
      </w:r>
      <w:r>
        <w:br/>
        <w:t>областные Думы (Тамбовской, Новгородской, Курской, Курганской,</w:t>
      </w:r>
      <w:r>
        <w:br/>
        <w:t>Калужской, Саратовской), а так же Народное собрание Республики Дагестан,</w:t>
      </w:r>
      <w:r>
        <w:br/>
        <w:t>и Государственные Советы:</w:t>
      </w:r>
      <w:r>
        <w:tab/>
        <w:t>Чувашской Республики и Удмуртской</w:t>
      </w:r>
    </w:p>
    <w:p w:rsidR="009648A0" w:rsidRDefault="007310A8">
      <w:pPr>
        <w:pStyle w:val="13"/>
        <w:framePr w:w="9490" w:h="8169" w:hRule="exact" w:wrap="around" w:vAnchor="page" w:hAnchor="page" w:x="1223" w:y="654"/>
        <w:shd w:val="clear" w:color="auto" w:fill="auto"/>
        <w:spacing w:before="0" w:after="0" w:line="432" w:lineRule="exact"/>
      </w:pPr>
      <w:r>
        <w:t>Респуб</w:t>
      </w:r>
      <w:r>
        <w:t>лики.</w:t>
      </w:r>
    </w:p>
    <w:p w:rsidR="009648A0" w:rsidRDefault="007310A8">
      <w:pPr>
        <w:pStyle w:val="13"/>
        <w:framePr w:w="9490" w:h="8169" w:hRule="exact" w:wrap="around" w:vAnchor="page" w:hAnchor="page" w:x="1223" w:y="654"/>
        <w:shd w:val="clear" w:color="auto" w:fill="auto"/>
        <w:spacing w:before="0" w:after="498" w:line="432" w:lineRule="exact"/>
        <w:ind w:right="20" w:firstLine="720"/>
        <w:jc w:val="both"/>
      </w:pPr>
      <w:r>
        <w:t>Кроме того, в соответствии с пунктом 2 Постановления</w:t>
      </w:r>
      <w:r>
        <w:br/>
        <w:t>Государственной Думы №7110-7 ГД от 19 ноября 2019 года, Правительству</w:t>
      </w:r>
      <w:r>
        <w:br/>
        <w:t>Российской Федерации в течение 2020 года предложено обеспечить</w:t>
      </w:r>
      <w:r>
        <w:br/>
        <w:t>выполнение в полном объеме требований подпункта "г" пункта 1 Ука</w:t>
      </w:r>
      <w:r>
        <w:t>за</w:t>
      </w:r>
      <w:r>
        <w:br/>
        <w:t>Президента Российской Федерации от 7 мая 2012 года № 604 "О дальнейшем</w:t>
      </w:r>
      <w:r>
        <w:br/>
        <w:t>совершенствовании военной службы в Российской Федерации" в части</w:t>
      </w:r>
      <w:r>
        <w:br/>
        <w:t>ежегодного увеличения пенсий гражданам, уволенным с военной службы, не</w:t>
      </w:r>
      <w:r>
        <w:br/>
        <w:t>менее чем на 2 процента сверх уровня инфляции.</w:t>
      </w:r>
    </w:p>
    <w:p w:rsidR="009648A0" w:rsidRDefault="007310A8">
      <w:pPr>
        <w:pStyle w:val="13"/>
        <w:framePr w:w="9490" w:h="8169" w:hRule="exact" w:wrap="around" w:vAnchor="page" w:hAnchor="page" w:x="1223" w:y="654"/>
        <w:shd w:val="clear" w:color="auto" w:fill="auto"/>
        <w:spacing w:before="0" w:after="63" w:line="260" w:lineRule="exact"/>
      </w:pPr>
      <w:r>
        <w:t>С уважением,</w:t>
      </w:r>
    </w:p>
    <w:p w:rsidR="009648A0" w:rsidRDefault="007310A8">
      <w:pPr>
        <w:pStyle w:val="13"/>
        <w:framePr w:w="9490" w:h="8169" w:hRule="exact" w:wrap="around" w:vAnchor="page" w:hAnchor="page" w:x="1223" w:y="654"/>
        <w:shd w:val="clear" w:color="auto" w:fill="auto"/>
        <w:spacing w:before="0" w:after="0" w:line="324" w:lineRule="exact"/>
        <w:ind w:right="20"/>
      </w:pPr>
      <w:r>
        <w:t>Первый заместитель</w:t>
      </w:r>
      <w:r>
        <w:br/>
        <w:t>председателя Комитета</w:t>
      </w:r>
    </w:p>
    <w:p w:rsidR="009648A0" w:rsidRDefault="007643F4">
      <w:pPr>
        <w:framePr w:wrap="none" w:vAnchor="page" w:hAnchor="page" w:x="4676" w:y="719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524125" cy="1628775"/>
            <wp:effectExtent l="0" t="0" r="9525" b="9525"/>
            <wp:docPr id="1" name="Рисунок 1" descr="C:\Users\user\AppData\Local\Temp\FineReader11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FineReader11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8A0" w:rsidRDefault="007310A8">
      <w:pPr>
        <w:pStyle w:val="a8"/>
        <w:framePr w:wrap="around" w:vAnchor="page" w:hAnchor="page" w:x="8992" w:y="8460"/>
        <w:shd w:val="clear" w:color="auto" w:fill="auto"/>
        <w:spacing w:line="260" w:lineRule="exact"/>
      </w:pPr>
      <w:r>
        <w:t>А.Л.Красов</w:t>
      </w:r>
    </w:p>
    <w:p w:rsidR="009648A0" w:rsidRDefault="009648A0">
      <w:pPr>
        <w:rPr>
          <w:sz w:val="2"/>
          <w:szCs w:val="2"/>
        </w:rPr>
      </w:pPr>
    </w:p>
    <w:sectPr w:rsidR="009648A0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0A8" w:rsidRDefault="007310A8">
      <w:r>
        <w:separator/>
      </w:r>
    </w:p>
  </w:endnote>
  <w:endnote w:type="continuationSeparator" w:id="0">
    <w:p w:rsidR="007310A8" w:rsidRDefault="00731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0A8" w:rsidRDefault="007310A8"/>
  </w:footnote>
  <w:footnote w:type="continuationSeparator" w:id="0">
    <w:p w:rsidR="007310A8" w:rsidRDefault="007310A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8A0"/>
    <w:rsid w:val="007310A8"/>
    <w:rsid w:val="007643F4"/>
    <w:rsid w:val="0096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13736F-DC81-49A5-8881-90F0D1C14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17"/>
      <w:szCs w:val="17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26"/>
      <w:szCs w:val="26"/>
      <w:u w:val="none"/>
    </w:rPr>
  </w:style>
  <w:style w:type="character" w:customStyle="1" w:styleId="1">
    <w:name w:val="Заголовок №1_"/>
    <w:basedOn w:val="a0"/>
    <w:link w:val="10"/>
    <w:rPr>
      <w:rFonts w:ascii="Franklin Gothic Medium Cond" w:eastAsia="Franklin Gothic Medium Cond" w:hAnsi="Franklin Gothic Medium Cond" w:cs="Franklin Gothic Medium Cond"/>
      <w:b w:val="0"/>
      <w:bCs w:val="0"/>
      <w:i w:val="0"/>
      <w:iCs w:val="0"/>
      <w:smallCaps w:val="0"/>
      <w:strike w:val="0"/>
      <w:spacing w:val="2"/>
      <w:w w:val="66"/>
      <w:sz w:val="26"/>
      <w:szCs w:val="26"/>
      <w:u w:val="none"/>
    </w:rPr>
  </w:style>
  <w:style w:type="character" w:customStyle="1" w:styleId="11">
    <w:name w:val="Заголовок №1"/>
    <w:basedOn w:val="1"/>
    <w:rPr>
      <w:rFonts w:ascii="Franklin Gothic Medium Cond" w:eastAsia="Franklin Gothic Medium Cond" w:hAnsi="Franklin Gothic Medium Cond" w:cs="Franklin Gothic Medium Cond"/>
      <w:b w:val="0"/>
      <w:bCs w:val="0"/>
      <w:i w:val="0"/>
      <w:iCs w:val="0"/>
      <w:smallCaps w:val="0"/>
      <w:strike w:val="0"/>
      <w:color w:val="000000"/>
      <w:spacing w:val="2"/>
      <w:w w:val="66"/>
      <w:position w:val="0"/>
      <w:sz w:val="26"/>
      <w:szCs w:val="26"/>
      <w:u w:val="single"/>
      <w:lang w:val="ru-RU" w:eastAsia="ru-RU" w:bidi="ru-RU"/>
    </w:rPr>
  </w:style>
  <w:style w:type="character" w:customStyle="1" w:styleId="12">
    <w:name w:val="Заголовок №1"/>
    <w:basedOn w:val="1"/>
    <w:rPr>
      <w:rFonts w:ascii="Franklin Gothic Medium Cond" w:eastAsia="Franklin Gothic Medium Cond" w:hAnsi="Franklin Gothic Medium Cond" w:cs="Franklin Gothic Medium Cond"/>
      <w:b w:val="0"/>
      <w:bCs w:val="0"/>
      <w:i w:val="0"/>
      <w:iCs w:val="0"/>
      <w:smallCaps w:val="0"/>
      <w:strike w:val="0"/>
      <w:color w:val="000000"/>
      <w:spacing w:val="2"/>
      <w:w w:val="66"/>
      <w:position w:val="0"/>
      <w:sz w:val="26"/>
      <w:szCs w:val="26"/>
      <w:u w:val="none"/>
    </w:rPr>
  </w:style>
  <w:style w:type="character" w:customStyle="1" w:styleId="1TimesNewRoman10pt0pt100">
    <w:name w:val="Заголовок №1 + Times New Roman;10 pt;Интервал 0 pt;Масштаб 100%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CordiaUPC95pt0pt100">
    <w:name w:val="Заголовок №1 + CordiaUPC;9;5 pt;Полужирный;Интервал 0 pt;Масштаб 100%"/>
    <w:basedOn w:val="1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1TimesNewRoman85pt0pt100">
    <w:name w:val="Заголовок №1 + Times New Roman;8;5 pt;Полужирный;Интервал 0 pt;Масштаб 100%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1TimesNewRoman10pt0pt1000">
    <w:name w:val="Заголовок №1 + Times New Roman;10 pt;Интервал 0 pt;Масштаб 100%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1CordiaUPC95pt0pt1000">
    <w:name w:val="Заголовок №1 + CordiaUPC;9;5 pt;Полужирный;Интервал 0 pt;Масштаб 100%"/>
    <w:basedOn w:val="1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a4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6"/>
      <w:szCs w:val="26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7">
    <w:name w:val="Подпись к картинк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6"/>
      <w:szCs w:val="26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77" w:lineRule="exact"/>
      <w:jc w:val="center"/>
    </w:pPr>
    <w:rPr>
      <w:rFonts w:ascii="Times New Roman" w:eastAsia="Times New Roman" w:hAnsi="Times New Roman" w:cs="Times New Roman"/>
      <w:spacing w:val="20"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b/>
      <w:bCs/>
      <w:spacing w:val="-1"/>
      <w:sz w:val="17"/>
      <w:szCs w:val="1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after="240" w:line="0" w:lineRule="atLeast"/>
      <w:jc w:val="center"/>
    </w:pPr>
    <w:rPr>
      <w:rFonts w:ascii="Times New Roman" w:eastAsia="Times New Roman" w:hAnsi="Times New Roman" w:cs="Times New Roman"/>
      <w:b/>
      <w:bCs/>
      <w:spacing w:val="-1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0" w:after="480" w:line="0" w:lineRule="atLeast"/>
      <w:jc w:val="both"/>
      <w:outlineLvl w:val="0"/>
    </w:pPr>
    <w:rPr>
      <w:rFonts w:ascii="Franklin Gothic Medium Cond" w:eastAsia="Franklin Gothic Medium Cond" w:hAnsi="Franklin Gothic Medium Cond" w:cs="Franklin Gothic Medium Cond"/>
      <w:spacing w:val="2"/>
      <w:w w:val="66"/>
      <w:sz w:val="26"/>
      <w:szCs w:val="26"/>
    </w:rPr>
  </w:style>
  <w:style w:type="paragraph" w:customStyle="1" w:styleId="13">
    <w:name w:val="Основной текст1"/>
    <w:basedOn w:val="a"/>
    <w:link w:val="a4"/>
    <w:pPr>
      <w:shd w:val="clear" w:color="auto" w:fill="FFFFFF"/>
      <w:spacing w:before="300" w:after="1260" w:line="0" w:lineRule="atLeast"/>
    </w:pPr>
    <w:rPr>
      <w:rFonts w:ascii="Times New Roman" w:eastAsia="Times New Roman" w:hAnsi="Times New Roman" w:cs="Times New Roman"/>
      <w:spacing w:val="-2"/>
      <w:sz w:val="26"/>
      <w:szCs w:val="26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432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a8">
    <w:name w:val="Подпись к картинке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2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mailto:nasibula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defence@duma.gov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1031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2019-11-26T05:03:00Z</dcterms:created>
  <dcterms:modified xsi:type="dcterms:W3CDTF">2019-11-26T05:04:00Z</dcterms:modified>
</cp:coreProperties>
</file>