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475" w:rsidRDefault="00612930">
      <w:pPr>
        <w:pStyle w:val="20"/>
        <w:shd w:val="clear" w:color="auto" w:fill="auto"/>
        <w:spacing w:before="0" w:after="0" w:line="320" w:lineRule="exact"/>
        <w:ind w:firstLine="880"/>
        <w:jc w:val="both"/>
      </w:pPr>
      <w:r>
        <w:t xml:space="preserve">Комитет </w:t>
      </w:r>
      <w:r>
        <w:t xml:space="preserve">государственного контроля и </w:t>
      </w:r>
      <w:r>
        <w:t xml:space="preserve">лицензирования Правительства </w:t>
      </w:r>
      <w:r>
        <w:t xml:space="preserve">ого </w:t>
      </w:r>
      <w:r>
        <w:t xml:space="preserve"> (далее - Комитет), рассмотрев Ваше обращение, направленное с использованием государственной информационной системы жилищно-коммунального хозяйства (ГИС ЖКХ), по вопросам порядка начисления и расчета платы за к</w:t>
      </w:r>
      <w:r>
        <w:t>оммунальные услуги по тепловой энергии, сообщает.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880"/>
        <w:jc w:val="both"/>
      </w:pPr>
      <w:r>
        <w:t>В соответствии с п. 4.4 ч. 2 ст. 44 Жилищного кодекса Российской Федерации (далее - ЖК РФ) к компетенции общего собрания собственников помещений в многоквартирном доме относится, среди прочего, принятие реш</w:t>
      </w:r>
      <w:r>
        <w:t>ения о заключении собственниками помещений в многоквартирном доме, действующими от своего имени, в порядке, установленном ЖК РФ, соответственно договора холодного и горячего водоснабжения, водоотведения, электроснабжения, газоснабжения (в том числе поставк</w:t>
      </w:r>
      <w:r>
        <w:t>и бытового газа в баллонах), отопления (теплоснабжения, в том числе поставки твердого топлива при наличии печного отопления), договора на оказание услуг по обращению с твердыми коммунальными отходами с ресурсоснабжающей организацией, региональным операторо</w:t>
      </w:r>
      <w:r>
        <w:t>м по обращению с твердыми коммунальными отходами.</w:t>
      </w:r>
    </w:p>
    <w:p w:rsidR="00696475" w:rsidRDefault="003D7921">
      <w:pPr>
        <w:pStyle w:val="20"/>
        <w:shd w:val="clear" w:color="auto" w:fill="auto"/>
        <w:spacing w:before="0" w:after="0" w:line="320" w:lineRule="exact"/>
        <w:ind w:firstLine="66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7" behindDoc="1" locked="0" layoutInCell="1" allowOverlap="1">
                <wp:simplePos x="0" y="0"/>
                <wp:positionH relativeFrom="margin">
                  <wp:posOffset>4260850</wp:posOffset>
                </wp:positionH>
                <wp:positionV relativeFrom="paragraph">
                  <wp:posOffset>2494915</wp:posOffset>
                </wp:positionV>
                <wp:extent cx="1723390" cy="69850"/>
                <wp:effectExtent l="0" t="635" r="3175" b="0"/>
                <wp:wrapSquare wrapText="left"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6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475" w:rsidRDefault="00612930">
                            <w:pPr>
                              <w:pStyle w:val="7"/>
                              <w:shd w:val="clear" w:color="auto" w:fill="auto"/>
                              <w:spacing w:line="110" w:lineRule="exact"/>
                            </w:pPr>
                            <w:r>
                              <w:t>ООО .Офф</w:t>
                            </w:r>
                            <w:r>
                              <w:rPr>
                                <w:vertAlign w:val="subscript"/>
                              </w:rPr>
                              <w:t>(</w:t>
                            </w:r>
                            <w:r>
                              <w:t>Ж</w:t>
                            </w:r>
                            <w:r>
                              <w:rPr>
                                <w:rStyle w:val="7Candara4ptExact"/>
                              </w:rPr>
                              <w:t>1</w:t>
                            </w:r>
                            <w:r>
                              <w:t xml:space="preserve"> ■ ■■ 201.5 </w:t>
                            </w:r>
                            <w:r>
                              <w:rPr>
                                <w:rStyle w:val="7Candara4ptExact0"/>
                                <w:b/>
                                <w:bCs/>
                              </w:rPr>
                              <w:t xml:space="preserve">I, </w:t>
                            </w:r>
                            <w:r>
                              <w:t>Эак. К-51. Тираж 23500 жз.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35.5pt;margin-top:196.45pt;width:135.7pt;height:5.5pt;z-index:-12582937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6LrAIAAKgFAAAOAAAAZHJzL2Uyb0RvYy54bWysVNuOmzAQfa/Uf7D8znJZQgA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" filled="f" stroked="f">
                <v:textbox style="mso-fit-shape-to-text:t" inset="0,0,0,0">
                  <w:txbxContent>
                    <w:p w:rsidR="00696475" w:rsidRDefault="00612930">
                      <w:pPr>
                        <w:pStyle w:val="7"/>
                        <w:shd w:val="clear" w:color="auto" w:fill="auto"/>
                        <w:spacing w:line="110" w:lineRule="exact"/>
                      </w:pPr>
                      <w:r>
                        <w:t>ООО .Офф</w:t>
                      </w:r>
                      <w:r>
                        <w:rPr>
                          <w:vertAlign w:val="subscript"/>
                        </w:rPr>
                        <w:t>(</w:t>
                      </w:r>
                      <w:r>
                        <w:t>Ж</w:t>
                      </w:r>
                      <w:r>
                        <w:rPr>
                          <w:rStyle w:val="7Candara4ptExact"/>
                        </w:rPr>
                        <w:t>1</w:t>
                      </w:r>
                      <w:r>
                        <w:t xml:space="preserve"> ■ ■■ 201.5 </w:t>
                      </w:r>
                      <w:r>
                        <w:rPr>
                          <w:rStyle w:val="7Candara4ptExact0"/>
                          <w:b/>
                          <w:bCs/>
                        </w:rPr>
                        <w:t xml:space="preserve">I, </w:t>
                      </w:r>
                      <w:r>
                        <w:t>Эак. К-51. Тираж 23500 жз.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612930">
        <w:t xml:space="preserve">Кроме того, Федеральным законом от </w:t>
      </w:r>
      <w:r w:rsidR="00612930">
        <w:rPr>
          <w:rStyle w:val="212pt"/>
        </w:rPr>
        <w:t xml:space="preserve">03.04,2018 </w:t>
      </w:r>
      <w:r w:rsidR="00612930">
        <w:t>№ 59-ФЗ "О внесении изменений в Жилищный кодекс Российской Федерации" в ЖК РФ была введена в действие ст. 15 7.2 "Предоставление коммунальных услуг ресурсоснабжающей организацией, региональным оператором по обращению с твердыми коммунальными отходами". Пун</w:t>
      </w:r>
      <w:r w:rsidR="00612930">
        <w:t>ктами 1, 3 ч. 1 ст. 157.2 ЖК РФ предусмотрено, что при управлении многоквартирным домом управляющей организацией коммунальные услуги собственникам помещений в многоквартирном доме и нанимателям жилых помещений предоставляются ресурсоснабжающей организацией</w:t>
      </w:r>
      <w:r w:rsidR="00612930">
        <w:t xml:space="preserve"> в соответствии с заключенными с каждым собственником помещения в многоквартирном доме, действующим от своего имени, договором, содержащим положения о предоставлении коммунальных услуг при принятии общим собранием собственников помещений в </w:t>
      </w:r>
      <w:r w:rsidR="00612930">
        <w:rPr>
          <w:rStyle w:val="212pt"/>
        </w:rPr>
        <w:t xml:space="preserve">БП </w:t>
      </w:r>
      <w:r w:rsidR="00612930">
        <w:rPr>
          <w:rStyle w:val="212pt1pt"/>
        </w:rPr>
        <w:t>041253</w:t>
      </w:r>
      <w:r w:rsidR="00612930">
        <w:br w:type="page"/>
      </w:r>
    </w:p>
    <w:p w:rsidR="00696475" w:rsidRDefault="00612930">
      <w:pPr>
        <w:pStyle w:val="20"/>
        <w:shd w:val="clear" w:color="auto" w:fill="auto"/>
        <w:spacing w:before="0" w:after="0" w:line="320" w:lineRule="exact"/>
        <w:jc w:val="both"/>
      </w:pPr>
      <w:r>
        <w:lastRenderedPageBreak/>
        <w:t>много</w:t>
      </w:r>
      <w:r>
        <w:t>квартирном доме решения, предусмотренного п. 4.4 ч. 2 ст. 44 ЖК РФ; если между собственниками помещений в многоквартирном доме и ресурсоснабжающей организацией заключены договор, содержащий положения о предоставлении коммунальных услуг на основании решения</w:t>
      </w:r>
      <w:r>
        <w:t xml:space="preserve">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организации.</w:t>
      </w:r>
    </w:p>
    <w:p w:rsidR="00696475" w:rsidRDefault="00612930">
      <w:pPr>
        <w:pStyle w:val="20"/>
        <w:shd w:val="clear" w:color="auto" w:fill="auto"/>
        <w:tabs>
          <w:tab w:val="left" w:pos="6794"/>
        </w:tabs>
        <w:spacing w:before="0" w:after="0" w:line="320" w:lineRule="exact"/>
        <w:ind w:firstLine="760"/>
        <w:jc w:val="both"/>
      </w:pPr>
      <w:r>
        <w:t>Собственни</w:t>
      </w:r>
      <w:r>
        <w:t>ками многоквартирного дома №</w:t>
      </w:r>
      <w:r>
        <w:tab/>
        <w:t xml:space="preserve">1 по ул. 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jc w:val="both"/>
      </w:pPr>
      <w:r>
        <w:t xml:space="preserve">в г, </w:t>
      </w:r>
      <w:r>
        <w:t>е (далее - МКД) принято решение о заключении собственниками помещений в многоквартирном доме, действующими от своего имени, в порядке, установленном ЖК РФ, соответственно договора холодного и гор</w:t>
      </w:r>
      <w:r>
        <w:t xml:space="preserve">ячего водоснабжения, водоотведения, электроснабжения, газоснабжения (в том числе поставки бытового газа в баллонах), отопления (теплоснабжения, в том числе поставки твердого топлива при наличии печного отопления), договора на оказание услуг по обращению с </w:t>
      </w:r>
      <w:r>
        <w:t>твердыми коммунальными отходами с ресурсоснабжающей организацией, региональным оператором по обращению с твердыми коммунальными отходами (п. 11 протокола № 2 годового общего собрания собственников помещений в МКД от 03.06.2018).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 xml:space="preserve">Согласно информации, </w:t>
      </w:r>
      <w:r>
        <w:t xml:space="preserve">представленной ООО "УК </w:t>
      </w:r>
      <w:r>
        <w:t>" именно на основании указанного выше решения, с 01.11.2018 исполнителем коммунальных услуг по тепловой энергии в МКД является АО "</w:t>
      </w:r>
      <w:r>
        <w:t>" (далее - АО "</w:t>
      </w:r>
      <w:r>
        <w:t>").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 xml:space="preserve">По вопросу о порядке начисления платы </w:t>
      </w:r>
      <w:r>
        <w:t>за коммунальную услугу по отоплению в случае, если одно помещение МКД будет оборудовано индивидуальным прибором учета тепла, сообщаем.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В соответствии с п. 42(1) Правил предоставления коммунальных услуг собственникам и пользователям помещений в многоквартир</w:t>
      </w:r>
      <w:r>
        <w:t>ных домах и жилых домов, утвержденных постановлением Правительства Российской Федерации от 06.05.2011 № 354 (далее - Правил), в многоквартирном доме, который оборудован коллективным (общедомовым) прибором учета тепловой энергии и в котором хотя бы одно, но</w:t>
      </w:r>
      <w:r>
        <w:t xml:space="preserve"> не все жилые или нежилые помещения оборудованы индивидуальными и (или) общими (квартирными) приборами учета тепловой энергии, размер платы за коммунальную услугу по отоплению определяется по формулам 3(1) и 3(4) приложения № 2 Правил на основании показани</w:t>
      </w:r>
      <w:r>
        <w:t xml:space="preserve">й индивидуального и (или) общего (квартирного) и коллективного (общедомового) приборов </w:t>
      </w:r>
      <w:r>
        <w:rPr>
          <w:rStyle w:val="2Sylfaen13pt"/>
        </w:rPr>
        <w:t>учета,</w:t>
      </w:r>
      <w:r>
        <w:t xml:space="preserve"> тепловой энергии, а именно:</w:t>
      </w:r>
    </w:p>
    <w:p w:rsidR="00696475" w:rsidRDefault="003D7921">
      <w:pPr>
        <w:pStyle w:val="80"/>
        <w:shd w:val="clear" w:color="auto" w:fill="auto"/>
        <w:ind w:firstLine="760"/>
      </w:pPr>
      <w:r>
        <w:rPr>
          <w:noProof/>
          <w:lang w:bidi="ar-SA"/>
        </w:rPr>
        <mc:AlternateContent>
          <mc:Choice Requires="wps">
            <w:drawing>
              <wp:anchor distT="0" distB="0" distL="1650365" distR="1643380" simplePos="0" relativeHeight="377487108" behindDoc="1" locked="0" layoutInCell="1" allowOverlap="1">
                <wp:simplePos x="0" y="0"/>
                <wp:positionH relativeFrom="margin">
                  <wp:posOffset>1678940</wp:posOffset>
                </wp:positionH>
                <wp:positionV relativeFrom="paragraph">
                  <wp:posOffset>201295</wp:posOffset>
                </wp:positionV>
                <wp:extent cx="2688590" cy="590550"/>
                <wp:effectExtent l="0" t="0" r="635" b="635"/>
                <wp:wrapTopAndBottom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859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475" w:rsidRDefault="003D7921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2694940" cy="454660"/>
                                  <wp:effectExtent l="0" t="0" r="0" b="0"/>
                                  <wp:docPr id="2" name="Рисунок 2" descr="C:\Users\Denisz\AppData\Local\Temp\FineReader12.00\media\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Denisz\AppData\Local\Temp\FineReader12.00\media\image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94940" cy="454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96475" w:rsidRDefault="00612930">
                            <w:pPr>
                              <w:pStyle w:val="a4"/>
                              <w:shd w:val="clear" w:color="auto" w:fill="auto"/>
                              <w:spacing w:line="210" w:lineRule="exact"/>
                            </w:pPr>
                            <w:r>
                              <w:t>S'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32.2pt;margin-top:15.85pt;width:211.7pt;height:46.5pt;z-index:-125829372;visibility:visible;mso-wrap-style:square;mso-width-percent:0;mso-height-percent:0;mso-wrap-distance-left:129.95pt;mso-wrap-distance-top:0;mso-wrap-distance-right:129.4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" filled="f" stroked="f">
                <v:textbox style="mso-fit-shape-to-text:t" inset="0,0,0,0">
                  <w:txbxContent>
                    <w:p w:rsidR="00696475" w:rsidRDefault="003D7921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b/>
                          <w:bCs/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2694940" cy="454660"/>
                            <wp:effectExtent l="0" t="0" r="0" b="0"/>
                            <wp:docPr id="2" name="Рисунок 2" descr="C:\Users\Denisz\AppData\Local\Temp\FineReader12.00\media\image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Denisz\AppData\Local\Temp\FineReader12.00\media\image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94940" cy="454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96475" w:rsidRDefault="00612930">
                      <w:pPr>
                        <w:pStyle w:val="a4"/>
                        <w:shd w:val="clear" w:color="auto" w:fill="auto"/>
                        <w:spacing w:line="210" w:lineRule="exact"/>
                      </w:pPr>
                      <w:r>
                        <w:t>S'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12930">
        <w:t>- формула 3(1) приложения № 2 Правил:</w:t>
      </w:r>
    </w:p>
    <w:p w:rsidR="00696475" w:rsidRDefault="00612930">
      <w:pPr>
        <w:pStyle w:val="20"/>
        <w:shd w:val="clear" w:color="auto" w:fill="auto"/>
        <w:spacing w:before="0" w:after="0" w:line="280" w:lineRule="exact"/>
        <w:ind w:left="600"/>
        <w:jc w:val="left"/>
      </w:pPr>
      <w:r>
        <w:t>где:</w:t>
      </w:r>
      <w:r>
        <w:br w:type="page"/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rPr>
          <w:rStyle w:val="21"/>
        </w:rPr>
        <w:lastRenderedPageBreak/>
        <w:t>Vi</w:t>
      </w:r>
      <w:r w:rsidRPr="003D7921">
        <w:rPr>
          <w:rStyle w:val="21"/>
          <w:lang w:val="ru-RU"/>
        </w:rPr>
        <w:t xml:space="preserve"> </w:t>
      </w:r>
      <w:r w:rsidRPr="003D7921">
        <w:rPr>
          <w:lang w:eastAsia="en-US" w:bidi="en-US"/>
        </w:rPr>
        <w:t xml:space="preserve">- </w:t>
      </w:r>
      <w:r>
        <w:t xml:space="preserve">объем (количество) потребленной за расчетный период тепловой энергии, приходящийся на </w:t>
      </w:r>
      <w:r>
        <w:rPr>
          <w:lang w:val="en-US" w:eastAsia="en-US" w:bidi="en-US"/>
        </w:rPr>
        <w:t>i</w:t>
      </w:r>
      <w:r w:rsidRPr="003D7921">
        <w:rPr>
          <w:lang w:eastAsia="en-US" w:bidi="en-US"/>
        </w:rPr>
        <w:t>-</w:t>
      </w:r>
      <w:r>
        <w:rPr>
          <w:lang w:val="en-US" w:eastAsia="en-US" w:bidi="en-US"/>
        </w:rPr>
        <w:t>e</w:t>
      </w:r>
      <w:r w:rsidRPr="003D7921">
        <w:rPr>
          <w:lang w:eastAsia="en-US" w:bidi="en-US"/>
        </w:rPr>
        <w:t xml:space="preserve"> </w:t>
      </w:r>
      <w:r>
        <w:t>помещение (жилое или нежилое) в многоквартирном доме и определенный по формуле 3(6);</w:t>
      </w:r>
    </w:p>
    <w:p w:rsidR="00696475" w:rsidRDefault="00612930">
      <w:pPr>
        <w:pStyle w:val="20"/>
        <w:shd w:val="clear" w:color="auto" w:fill="auto"/>
        <w:spacing w:before="0" w:after="0" w:line="342" w:lineRule="exact"/>
        <w:ind w:firstLine="580"/>
        <w:jc w:val="both"/>
      </w:pPr>
      <w:r>
        <w:rPr>
          <w:lang w:val="en-US" w:eastAsia="en-US" w:bidi="en-US"/>
        </w:rPr>
        <w:t>Si</w:t>
      </w:r>
      <w:r w:rsidRPr="003D7921">
        <w:rPr>
          <w:lang w:eastAsia="en-US" w:bidi="en-US"/>
        </w:rPr>
        <w:t xml:space="preserve"> </w:t>
      </w:r>
      <w:r>
        <w:t xml:space="preserve">- </w:t>
      </w:r>
      <w:r>
        <w:t xml:space="preserve">общая площадь </w:t>
      </w:r>
      <w:r>
        <w:rPr>
          <w:lang w:val="en-US" w:eastAsia="en-US" w:bidi="en-US"/>
        </w:rPr>
        <w:t>i</w:t>
      </w:r>
      <w:r w:rsidRPr="003D7921">
        <w:rPr>
          <w:lang w:eastAsia="en-US" w:bidi="en-US"/>
        </w:rPr>
        <w:t>-</w:t>
      </w:r>
      <w:r>
        <w:rPr>
          <w:lang w:val="en-US" w:eastAsia="en-US" w:bidi="en-US"/>
        </w:rPr>
        <w:t>ro</w:t>
      </w:r>
      <w:r w:rsidRPr="003D7921">
        <w:rPr>
          <w:lang w:eastAsia="en-US" w:bidi="en-US"/>
        </w:rPr>
        <w:t xml:space="preserve"> </w:t>
      </w:r>
      <w:r>
        <w:t>помещения (жилого или нежилого) в многоквартирном доме;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t>У</w:t>
      </w:r>
      <w:r>
        <w:rPr>
          <w:vertAlign w:val="superscript"/>
        </w:rPr>
        <w:t>д</w:t>
      </w:r>
      <w:r>
        <w:t xml:space="preserve"> - объем (количество) потребленной за расчетный период в многоквартирном доме тепловой энергии, определенный при осуществлении оплаты коммунальной услуги по отоплению в течение отопительного периода по показаниям коллективного (общедомового) прибора учета </w:t>
      </w:r>
      <w:r>
        <w:t>тепловой энергии, а при оплате равномерно в течение календарного года - исходя из среднемесячного объема потребления тепловой энергии на отопление в многоквартирном доме по показаниям коллективного (общедомового) прибора учета тепловой энергии за предыдущи</w:t>
      </w:r>
      <w:r>
        <w:t>й год;</w:t>
      </w:r>
    </w:p>
    <w:p w:rsidR="00696475" w:rsidRDefault="00612930">
      <w:pPr>
        <w:pStyle w:val="20"/>
        <w:shd w:val="clear" w:color="auto" w:fill="auto"/>
        <w:tabs>
          <w:tab w:val="left" w:pos="1196"/>
        </w:tabs>
        <w:spacing w:before="0" w:after="0" w:line="320" w:lineRule="exact"/>
        <w:ind w:firstLine="580"/>
        <w:jc w:val="both"/>
      </w:pPr>
      <w:r>
        <w:rPr>
          <w:lang w:val="en-US" w:eastAsia="en-US" w:bidi="en-US"/>
        </w:rPr>
        <w:t>S</w:t>
      </w:r>
      <w:r w:rsidRPr="003D7921">
        <w:rPr>
          <w:vertAlign w:val="superscript"/>
          <w:lang w:eastAsia="en-US" w:bidi="en-US"/>
        </w:rPr>
        <w:t>06</w:t>
      </w:r>
      <w:r w:rsidRPr="003D7921">
        <w:rPr>
          <w:lang w:eastAsia="en-US" w:bidi="en-US"/>
        </w:rPr>
        <w:tab/>
      </w:r>
      <w:r>
        <w:t>- общая площадь всех жилых и нежилых помещений в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jc w:val="left"/>
      </w:pPr>
      <w:r>
        <w:t>многоквартирном доме;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rPr>
          <w:rStyle w:val="21"/>
          <w:lang w:val="ru-RU" w:eastAsia="ru-RU" w:bidi="ru-RU"/>
        </w:rPr>
        <w:t>Т</w:t>
      </w:r>
      <w:r>
        <w:rPr>
          <w:rStyle w:val="21"/>
          <w:vertAlign w:val="superscript"/>
          <w:lang w:val="ru-RU" w:eastAsia="ru-RU" w:bidi="ru-RU"/>
        </w:rPr>
        <w:t>т</w:t>
      </w:r>
      <w:r>
        <w:rPr>
          <w:rStyle w:val="21"/>
          <w:lang w:val="ru-RU" w:eastAsia="ru-RU" w:bidi="ru-RU"/>
        </w:rPr>
        <w:t xml:space="preserve"> </w:t>
      </w:r>
      <w:r>
        <w:t>- тариф на тепловую энергию, установленный в соответствии с законодательством Российской Федерации.</w:t>
      </w:r>
    </w:p>
    <w:p w:rsidR="00696475" w:rsidRDefault="00612930">
      <w:pPr>
        <w:pStyle w:val="80"/>
        <w:shd w:val="clear" w:color="auto" w:fill="auto"/>
        <w:spacing w:after="900"/>
      </w:pPr>
      <w:r>
        <w:t>- формула 3(4) приложения № 2 Правил: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t>где: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rPr>
          <w:lang w:val="en-US" w:eastAsia="en-US" w:bidi="en-US"/>
        </w:rPr>
        <w:t>Pkpi</w:t>
      </w:r>
      <w:r w:rsidRPr="003D7921">
        <w:rPr>
          <w:lang w:eastAsia="en-US" w:bidi="en-US"/>
        </w:rPr>
        <w:t xml:space="preserve"> </w:t>
      </w:r>
      <w:r>
        <w:t xml:space="preserve">- размер платы за коммунальную услугу по отоплению, потребленную за прошедший год в </w:t>
      </w:r>
      <w:r>
        <w:rPr>
          <w:lang w:val="en-US" w:eastAsia="en-US" w:bidi="en-US"/>
        </w:rPr>
        <w:t>i</w:t>
      </w:r>
      <w:r>
        <w:t>-м жилом или нежилом помещении в многоквартирном доме, определенный по формулам 3, 3(1) и 3(3) исходя из показаний индивидуального или общего (квартирного) прибора учета в</w:t>
      </w:r>
      <w:r>
        <w:t xml:space="preserve"> </w:t>
      </w:r>
      <w:r>
        <w:rPr>
          <w:lang w:val="en-US" w:eastAsia="en-US" w:bidi="en-US"/>
        </w:rPr>
        <w:t>i</w:t>
      </w:r>
      <w:r>
        <w:t xml:space="preserve">-м жилом или нежилом помещении и показаний коллективного (общедомового) прибора учета тепловой энергии, размер платы за коммунальную услугу по отоплению в жилом доме, который оборудован индивидуальным прибором учета, определенный по формуле 3(5), исходя </w:t>
      </w:r>
      <w:r>
        <w:t>из показаний индивидуального прибора учета тепловой энергии.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t>В случаях, предусмотренных пунктами 59, 59(1) и 60(1) Правил, для расчета размера платы за коммунальную услугу по отоплению используется объем (количество) коммунального ресурса, определенный в с</w:t>
      </w:r>
      <w:r>
        <w:t>оответствии с положениями указанных пунктов;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rPr>
          <w:rStyle w:val="295pt"/>
        </w:rPr>
        <w:t>P</w:t>
      </w:r>
      <w:r>
        <w:rPr>
          <w:rStyle w:val="295pt"/>
          <w:vertAlign w:val="subscript"/>
        </w:rPr>
        <w:t>np</w:t>
      </w:r>
      <w:r>
        <w:rPr>
          <w:rStyle w:val="295pt"/>
        </w:rPr>
        <w:t>i</w:t>
      </w:r>
      <w:r w:rsidRPr="003D7921">
        <w:rPr>
          <w:rStyle w:val="295pt"/>
          <w:lang w:val="ru-RU"/>
        </w:rPr>
        <w:t xml:space="preserve"> </w:t>
      </w:r>
      <w:r>
        <w:t xml:space="preserve">- размер платы за коммунальную услугу по отоплению, начисленный за прошедший год потребителю в </w:t>
      </w:r>
      <w:r>
        <w:rPr>
          <w:lang w:val="en-US" w:eastAsia="en-US" w:bidi="en-US"/>
        </w:rPr>
        <w:t>i</w:t>
      </w:r>
      <w:r>
        <w:t>-м жилом или нежилом помещении в многоквартирном доме, определенный по формулам 3, 3(1) и 3(3), размер платы з</w:t>
      </w:r>
      <w:r>
        <w:t>а коммунальную услугу по отоплению в жилом доме, который оборудован индивидуальным прибором учета, определенный по формуле 3(5), исходя из среднемесячного объема потребления тепловой энергии за предыдущий год.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580"/>
        <w:jc w:val="both"/>
      </w:pPr>
      <w:r>
        <w:t>На основании изложенного, преград для выполнен</w:t>
      </w:r>
      <w:r>
        <w:t>ия расчета размера платы за коммунальную услугу по отоплению в жилом помещении, оборудованном индивидуальным прибором учета тепла в МКД оборудованном общедомовым прибором учета тепловой энергии, не имеется.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По вопросу о том, в соответствии с какой формулой</w:t>
      </w:r>
      <w:r>
        <w:t xml:space="preserve"> производится расчет размера платы за коммунальные услуги по отоплению и горячему </w:t>
      </w:r>
      <w:r>
        <w:lastRenderedPageBreak/>
        <w:t>водоснабжению в расчетных периодах 2018-2019 г.г., сообщаем.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Учитывая, что Вами не конкретизировано для какого именно МКД Вас интересуют данные начисления платы, а также по В</w:t>
      </w:r>
      <w:r>
        <w:t>ашему жилому помещению или нет Вас интересуют начисления в расчетном периоде 2018- 2019 г.г., комитетом принято решение о разъяснении общего порядка расчета платы по условиям, предусмотренным Правилами.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Расчет размера платы за коммунальную услугу по горяче</w:t>
      </w:r>
      <w:r>
        <w:t>й воде определяется в соответствии со следующими положениями Правил.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В соответствии с п. 42 Правил, размер платы за коммунальную услугу, предоставленную потребителю в жилом помещении, оборудованном индивидуальным или общим (квартирным) прибором учета, за и</w:t>
      </w:r>
      <w:r>
        <w:t>сключением платы за коммунальную услугу по отоплению, определяется в соответствии с формулой 1 приложения № 2 Правил исходя из показаний такого прибора учета за расчетный период. В случае установления двухкомпонентных тарифов на горячую воду размер платы з</w:t>
      </w:r>
      <w:r>
        <w:t>а коммунальную услугу по горячему водоснабжению, предоставленную потребителю за расчетный период в жилом помещении, определяется в соответствии с формулой 23 приложения № 2 Правил исходя из показаний приборов учета горячей воды.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При отсутствии индивидуальн</w:t>
      </w:r>
      <w:r>
        <w:t>ого или общего (квартирного) прибора учета холодной воды, горячей воды,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водоснабжению, горячему водоснабжению,</w:t>
      </w:r>
      <w:r>
        <w:t xml:space="preserve"> электроснабжению, газоснабжению, предоставленную потребителю в жилом помещении, определяется в соответствии с формулами 4 и 5 приложения № 2 Правил исходя из нормативов потребления коммунальной услуги. В случае установления двухкомпонентных тарифов на гор</w:t>
      </w:r>
      <w:r>
        <w:t>ячую воду размер платы за коммунальную услугу по горячему водоснабжению, предоставленную потребителю за расчетный период в жилом помещении, определяется в соответствии с формулой 23 приложения № 2 Правил исходя из норматива потребления горячей воды.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При от</w:t>
      </w:r>
      <w:r>
        <w:t>сутствии индивидуального или общего (квартирного) прибора учета холодной воды, горячей воды, электрической энергии и в случае наличия обязанности установки такого прибора учета размер платы за коммунальную услугу по холодному водоснабжению, горячему водосн</w:t>
      </w:r>
      <w:r>
        <w:t>абжению и (или) электроснабжению, предоставленную потребителю в жилом помещении, определяется по формуле 4(1) приложения № 2 Правил исходя из норматива потребления коммунальной услуги по холодному водоснабжению, горячему водоснабжению и (или) электроснабже</w:t>
      </w:r>
      <w:r>
        <w:t>нию с применением повышающего коэффициента, а в случае установления двухкомпонентных тарифов на горячую воду размер платы за коммунальную услугу по горячему водоснабжению, предоставленную потребителю за расчетный период в жилом помещении, которое не оснаще</w:t>
      </w:r>
      <w:r>
        <w:t>но такими приборами учета, определяется по формуле 23(1) приложения № 2 Правил исходя из норматива потребления горячей воды с применением повышающего коэффициента.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lastRenderedPageBreak/>
        <w:t>Размер платы за коммунальную услугу, предоставленную потребителю в жилом помещении в случаях</w:t>
      </w:r>
      <w:r>
        <w:t xml:space="preserve"> и за расчетные периоды, указанные в п. 59 Правил, определяется исходя из данных, указанных в п. 59 Правил.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Размер платы за коммунальную услугу по водоотведению, предоставленную за расчетный период в жилом помещении, не оборудованном индивидуальным или общ</w:t>
      </w:r>
      <w:r>
        <w:t>им (квартирным) прибором учета сточных вод, рассчитывается исходя из суммы объемов холодной и горячей воды, предоставленных в таком жилом помещении и определенных по показаниям индивидуальных или общих (квартирных) приборов учета холодной и (или) горячей в</w:t>
      </w:r>
      <w:r>
        <w:t>оды за расчетный период, а при отсутствии приборов учета холодной и (или) горячей воды - в соответствии с формулой 4 приложения № 2 Правил исходя из норматива водоотведения.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 xml:space="preserve">Расчет размера платы за коммунальную услугу по отоплению определяется в </w:t>
      </w:r>
      <w:r>
        <w:t>соответствии со следующими положениями Правил.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В соответствии с п. 42(1), 42(2) Правил, оплата коммунальной услуги по отоплению осуществляется одним из двух способов - в течение отопительного периода либо равномерно в течение календарного года.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В многоквар</w:t>
      </w:r>
      <w:r>
        <w:t xml:space="preserve">тирном доме, который не оборудован коллективным (общедомовым) прибором учета тепловой энергии, и жилом доме, который не оборудован индивидуальным прибором учета тепловой энергии, размер платы за коммунальную услугу по отоплению определяется по формулам 2, </w:t>
      </w:r>
      <w:r>
        <w:t>2(1), 2(3) и 2(4) приложения № 2 Правил исходя из норматива потребления коммунальной услуги по отоплению.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 xml:space="preserve">В многоквартирном доме, который оборудован коллективным (общедомовым) прибором учета тепловой энергии и в котором ни одно жилое или нежилое помещение </w:t>
      </w:r>
      <w:r>
        <w:t>не оборудовано индивидуальным и (или) общим (квартирным) прибором учета тепловой энергии, размер платы за коммунальную услугу по отоплению определяется по формулам 3 и 3(4) приложения № 2 Правил на основании показаний коллективного (общедомового) прибора у</w:t>
      </w:r>
      <w:r>
        <w:t>чета тепловой энергии.</w:t>
      </w:r>
    </w:p>
    <w:p w:rsidR="00696475" w:rsidRDefault="00612930">
      <w:pPr>
        <w:pStyle w:val="20"/>
        <w:shd w:val="clear" w:color="auto" w:fill="auto"/>
        <w:tabs>
          <w:tab w:val="left" w:pos="1212"/>
          <w:tab w:val="center" w:pos="4038"/>
          <w:tab w:val="right" w:pos="5737"/>
          <w:tab w:val="left" w:pos="5897"/>
        </w:tabs>
        <w:spacing w:before="0" w:after="0" w:line="320" w:lineRule="exact"/>
        <w:ind w:firstLine="760"/>
        <w:jc w:val="both"/>
      </w:pPr>
      <w:r>
        <w:t>В</w:t>
      </w:r>
      <w:r>
        <w:tab/>
        <w:t>многоквартирном</w:t>
      </w:r>
      <w:r>
        <w:tab/>
        <w:t>доме,</w:t>
      </w:r>
      <w:r>
        <w:tab/>
        <w:t>который</w:t>
      </w:r>
      <w:r>
        <w:tab/>
        <w:t>оборудован коллективным</w:t>
      </w:r>
    </w:p>
    <w:p w:rsidR="00696475" w:rsidRDefault="00612930">
      <w:pPr>
        <w:pStyle w:val="20"/>
        <w:shd w:val="clear" w:color="auto" w:fill="auto"/>
        <w:tabs>
          <w:tab w:val="right" w:pos="1102"/>
          <w:tab w:val="left" w:pos="1245"/>
          <w:tab w:val="center" w:pos="4038"/>
          <w:tab w:val="left" w:pos="4302"/>
          <w:tab w:val="right" w:pos="5737"/>
          <w:tab w:val="left" w:pos="5878"/>
        </w:tabs>
        <w:spacing w:before="0" w:after="0" w:line="320" w:lineRule="exact"/>
        <w:jc w:val="both"/>
      </w:pPr>
      <w:r>
        <w:t xml:space="preserve">(общедомовым) прибором учета тепловой энергии и в котором хотя бы одно, но не все жилые или нежилые помещения оборудованы индивидуальными и (или) общими (квартирными) приборами </w:t>
      </w:r>
      <w:r>
        <w:t>учета тепловой энергии, размер платы за коммунальную услугу по отоплению определяется по формулам 3(1)</w:t>
      </w:r>
      <w:r>
        <w:tab/>
        <w:t>и</w:t>
      </w:r>
      <w:r>
        <w:tab/>
        <w:t>3(4) приложения</w:t>
      </w:r>
      <w:r>
        <w:tab/>
        <w:t>№</w:t>
      </w:r>
      <w:r>
        <w:tab/>
        <w:t>2</w:t>
      </w:r>
      <w:r>
        <w:tab/>
        <w:t>Правил</w:t>
      </w:r>
      <w:r>
        <w:tab/>
        <w:t>на основании показаний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jc w:val="both"/>
      </w:pPr>
      <w:r>
        <w:t>индивидуального и (или) общего (квартирного) и коллективного (общедомового) приборов учета тепловой э</w:t>
      </w:r>
      <w:r>
        <w:t>нергии.</w:t>
      </w:r>
    </w:p>
    <w:p w:rsidR="00696475" w:rsidRDefault="00612930">
      <w:pPr>
        <w:pStyle w:val="20"/>
        <w:shd w:val="clear" w:color="auto" w:fill="auto"/>
        <w:tabs>
          <w:tab w:val="left" w:pos="1212"/>
          <w:tab w:val="center" w:pos="4038"/>
          <w:tab w:val="right" w:pos="5737"/>
          <w:tab w:val="left" w:pos="5904"/>
        </w:tabs>
        <w:spacing w:before="0" w:after="0" w:line="320" w:lineRule="exact"/>
        <w:ind w:firstLine="760"/>
        <w:jc w:val="both"/>
      </w:pPr>
      <w:r>
        <w:t>В</w:t>
      </w:r>
      <w:r>
        <w:tab/>
        <w:t>многоквартирном</w:t>
      </w:r>
      <w:r>
        <w:tab/>
        <w:t>доме,</w:t>
      </w:r>
      <w:r>
        <w:tab/>
        <w:t>который</w:t>
      </w:r>
      <w:r>
        <w:tab/>
        <w:t>оборудован коллективным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jc w:val="both"/>
      </w:pPr>
      <w:r>
        <w:t xml:space="preserve">(общедомовым) прибором учета тепловой энергии и в котором все жилые и нежилые помещения оборудованы индивидуальными и (или) общими (квартирными) приборами учета тепловой энергии, размер платы </w:t>
      </w:r>
      <w:r>
        <w:t xml:space="preserve">за коммунальную услугу по отоплению определяется по формулам 3(3) и 3(4) приложения № 2 Правилам на основании показаний индивидуальных и (или) общих (квартирных) приборов </w:t>
      </w:r>
      <w:r>
        <w:rPr>
          <w:rStyle w:val="2Sylfaen13pt"/>
        </w:rPr>
        <w:t>учета</w:t>
      </w:r>
      <w:r>
        <w:t xml:space="preserve"> тепловой энергии и показаний коллективного (общедомового) прибора учета теплово</w:t>
      </w:r>
      <w:r>
        <w:t>й энергии.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40"/>
        <w:jc w:val="both"/>
      </w:pPr>
      <w:r>
        <w:lastRenderedPageBreak/>
        <w:t>В жилом доме, который оборудован индивидуальным прибором учета тепловой энергии, размер платы за коммунальную услугу по отоплению определяется по формулам 3(4) и 3(5) приложения № 2 Правилам на основании показаний индивидуального прибора учета т</w:t>
      </w:r>
      <w:r>
        <w:t>епловой энергии.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40"/>
        <w:jc w:val="both"/>
      </w:pPr>
      <w:r>
        <w:t xml:space="preserve">Если многоквартирный дом оборудован коллективным (общедомовым) прибором учета тепловой энергии и при этом жилые и нежилые помещения в многоквартирном доме, общая площадь которых составляет более 50 процентов общей площади всех жилых и </w:t>
      </w:r>
      <w:r>
        <w:t>нежилых помещений в многоквартирном доме, оборудованы распределителями, размер платы за коммунальную услугу по отоплению определяется в соответствии с положениями абзацев третьего и четвертого настоящего пункта и подлежит 1 раз в год корректировке исполнит</w:t>
      </w:r>
      <w:r>
        <w:t>елем в соответствии с формулой 6 приложения № 2 Правил. Решением общего собрания собственников помещений в многоквартирном доме, членов товарищества или кооператива может быть установлена более частая в течение года периодичность проведения корректировки р</w:t>
      </w:r>
      <w:r>
        <w:t>азмера платы за коммунальную услугу по отоплению, предоставленную потребителям в указанном в настоящем абзаце многоквартирном доме, в случае осуществления оплаты коммунальной услуги по отоплению в течение отопительного периода. В случае выхода из строя, от</w:t>
      </w:r>
      <w:r>
        <w:t>сутствия показаний или наличия факта нарушения целостности пломбы хотя бы одного распределителя в жилом или нежилом помещении многоквартирного дома такое помещение приравнивается к помещениям, не оборудованным распределителями.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40"/>
        <w:jc w:val="both"/>
      </w:pPr>
      <w:r>
        <w:t>При выборе способа оплаты ко</w:t>
      </w:r>
      <w:r>
        <w:t>ммунальной услуги по отоплению в течение отопительного периода при открытой системе теплоснабжения (горячего водоснабжения) в случае, если узел учета тепловой энергии многоквартирного дома оснащен коллективным (общедомовым) прибором учета тепловой энергии,</w:t>
      </w:r>
      <w:r>
        <w:t xml:space="preserve"> учитывающим общий объем (количество) тепловой энергии, потребленной на нужды отопления и горячего водоснабжения, для определения размера платы за коммунальную услугу по отоплению в соответствии с положениями абзацев третьего - пятого настоящего пункта объ</w:t>
      </w:r>
      <w:r>
        <w:t>ем (количество) тепловой энергии, потребленной за расчетный период на нужды отопления, в течение отопительного периода определяется как разность объема (количества) потребленной за расчетный период тепловой энергии, определенного на основании показаний кол</w:t>
      </w:r>
      <w:r>
        <w:t>лективного (общедомового) прибора учета тепловой энергии, которым оборудован многоквартирный дом, и произведения объема (количества) потребленной за расчетный период тепловой энергии, использованной на подогрев воды в целях предоставления коммунальной услу</w:t>
      </w:r>
      <w:r>
        <w:t>ги по горячему водоснабжению, определенного исходя из норматива расхода тепловой энергии, использованной на подогрев воды в целях предоставления коммунальной услуги по горячему водоснабжению, и объема (количества) горячей воды, потребленной в помещениях мн</w:t>
      </w:r>
      <w:r>
        <w:t>огоквартирного дома и на общедомовые нужды.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 xml:space="preserve">При выборе способа оплаты коммунальной услуги по отоплению в течение отопительного периода в случае, если при открытой системе </w:t>
      </w:r>
      <w:r>
        <w:lastRenderedPageBreak/>
        <w:t>теплоснабжения (горячего водоснабжения) в многоквартирном доме коллективные (общедомо</w:t>
      </w:r>
      <w:r>
        <w:t>вые) приборы учета установлены раздельно в системе отопления и в системе горячего водоснабжения, размер платы за коммунальную услугу по отоплению определяется в соответствии с положениями абзацев третьего - пятого настоящего пункта.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При выборе способа опла</w:t>
      </w:r>
      <w:r>
        <w:t>ты коммунальной услуги по отоплению в течение отопительного периода объем (количество) тепловой энергии в размере, определенном на основании показаний индивидуального и (или) общего (квартирного) приборов учета тепловой энергии, используется при расчете ра</w:t>
      </w:r>
      <w:r>
        <w:t>змера платы за коммунальную услугу по отоплению за тот расчетный период, в котором потребителем были переданы показания приборов учета. При выборе способа оплаты коммунальной услуги по отоплению равномерно в течение календарного года показания индивидуальн</w:t>
      </w:r>
      <w:r>
        <w:t>ого и (или) общего (квартирного) приборов учета тепловой энергии используются при проведении корректировки за прошедший год.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Способ оплаты коммунальной услуги по отоплению в течение отопительного периода применяется с начала отопительного периода в году, с</w:t>
      </w:r>
      <w:r>
        <w:t>ледующем за годом, в котором органом государственной власти субъекта Российской Федерации принято решение о выборе такого способа, а способ оплаты коммунальной услуги по отоплению равномерно в течение календарного года - с 1 июля года, следующего за годом,</w:t>
      </w:r>
      <w:r>
        <w:t xml:space="preserve"> в котором органом государственной власти субъекта Российской Федерации принято решение о выборе такого способа.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В случае принятия органом государственной власти субъекта Российской Федерации решения об изменении способа оплаты коммунальной услуги по отопл</w:t>
      </w:r>
      <w:r>
        <w:t>ению исполнитель осуществляет корректировку размера платы за коммунальную услугу по отоплению в I квартале календарного года, следующего за годом, в котором происходит изменение способа оплаты, в соответствии с формулой 6(1) приложения № 2 Правил.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По вопро</w:t>
      </w:r>
      <w:r>
        <w:t xml:space="preserve">су об указании в платежном документе за расчетный период ноябрь 2018 года, направляемом для оплаты коммунальной услуги по тепловой энергии, исполнителем коммунальных услуг ООО "УК </w:t>
      </w:r>
      <w:r>
        <w:t>", сообщаем.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60"/>
        <w:jc w:val="both"/>
      </w:pPr>
      <w:r>
        <w:t>Проанализировав представленную Вами копию платежного докум</w:t>
      </w:r>
      <w:r>
        <w:t xml:space="preserve">ента за ноябрь 2018 года, а также представленные ООО "УК </w:t>
      </w:r>
      <w:r>
        <w:t>" письменные пояснения в рамках рассмотрения настоящего обращения, комитетом усматриваются нарушения права потребителя на получение полной и достоверной информации со стороны АО "</w:t>
      </w:r>
      <w:r>
        <w:t xml:space="preserve">". Учитывая </w:t>
      </w:r>
      <w:r>
        <w:t xml:space="preserve">изложенное, комитетом принято решение о направлении установленной информации в адрес Управление Роспотребнадзора по </w:t>
      </w:r>
      <w:r>
        <w:t>ому краю для решения данного вопроса по существу, а также направления уведомления о результатах рассмотрении настоящего вопроса в В</w:t>
      </w:r>
      <w:r>
        <w:t>аш адрес и в адрес комитета.</w:t>
      </w:r>
      <w:r>
        <w:br w:type="page"/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40"/>
        <w:jc w:val="both"/>
      </w:pPr>
      <w:r>
        <w:lastRenderedPageBreak/>
        <w:t xml:space="preserve">При этом, в действиях ООО "УК </w:t>
      </w:r>
      <w:r>
        <w:t>" комитетом не усматривается фактов, свидетельствующих о нарушении Ваших прав на получении информации, на основании представленных документов и письменных пояснений.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740"/>
        <w:jc w:val="both"/>
      </w:pPr>
      <w:r>
        <w:t>Считаем необходимым также</w:t>
      </w:r>
      <w:r>
        <w:t xml:space="preserve"> отметить, что комитетом в настоящее время организована и проводится внеплановая документарная проверка в отношении АО "</w:t>
      </w:r>
      <w:bookmarkStart w:id="0" w:name="_GoBack"/>
      <w:bookmarkEnd w:id="0"/>
      <w:r>
        <w:t>" (по обращению, зарегистрированному за № ЭП/3-738ж от 23.01.2019), предметом которой являются следующие вопросы:</w:t>
      </w:r>
    </w:p>
    <w:p w:rsidR="00696475" w:rsidRDefault="00612930">
      <w:pPr>
        <w:pStyle w:val="20"/>
        <w:numPr>
          <w:ilvl w:val="0"/>
          <w:numId w:val="1"/>
        </w:numPr>
        <w:shd w:val="clear" w:color="auto" w:fill="auto"/>
        <w:tabs>
          <w:tab w:val="left" w:pos="835"/>
        </w:tabs>
        <w:spacing w:before="0" w:after="0" w:line="320" w:lineRule="exact"/>
        <w:ind w:firstLine="620"/>
        <w:jc w:val="both"/>
      </w:pPr>
      <w:r>
        <w:t>связанный с отсутст</w:t>
      </w:r>
      <w:r>
        <w:t>вием сведений об исполнителе коммунальных услуг в МЕСД в платежном документе за декабрь 2018 года (с указанием наименования юридического лица или фамилии, имени и отчества индивидуального предпринимателя), номер его банковского счета и банковские реквизиты</w:t>
      </w:r>
      <w:r>
        <w:t>, адрес (место нахождения), номера контактных телефонов, номера факсов и (при наличии) адреса электронной почты, адрес сайта исполнителя в сети Интернет;</w:t>
      </w:r>
    </w:p>
    <w:p w:rsidR="00696475" w:rsidRDefault="00612930">
      <w:pPr>
        <w:pStyle w:val="20"/>
        <w:numPr>
          <w:ilvl w:val="0"/>
          <w:numId w:val="1"/>
        </w:numPr>
        <w:shd w:val="clear" w:color="auto" w:fill="auto"/>
        <w:tabs>
          <w:tab w:val="left" w:pos="835"/>
        </w:tabs>
        <w:spacing w:before="0" w:after="0" w:line="320" w:lineRule="exact"/>
        <w:ind w:firstLine="620"/>
        <w:jc w:val="both"/>
      </w:pPr>
      <w:r>
        <w:t>связанный со своевременным направлением в адрес потребителей МКД платежных документов за расчетный пер</w:t>
      </w:r>
      <w:r>
        <w:t>иод декабрь 2018 года.</w:t>
      </w:r>
    </w:p>
    <w:p w:rsidR="00696475" w:rsidRDefault="00612930">
      <w:pPr>
        <w:pStyle w:val="20"/>
        <w:shd w:val="clear" w:color="auto" w:fill="auto"/>
        <w:spacing w:before="0" w:after="0" w:line="320" w:lineRule="exact"/>
        <w:ind w:firstLine="620"/>
        <w:jc w:val="both"/>
      </w:pPr>
      <w:r>
        <w:t>Результаты проведенной проверки будут отражены в направленном Вам ответе на обращение, зарегистрированное в комитете за № ЭП/3-738ж от 23.01.2019.</w:t>
      </w:r>
    </w:p>
    <w:p w:rsidR="00696475" w:rsidRDefault="003D7921">
      <w:pPr>
        <w:pStyle w:val="20"/>
        <w:shd w:val="clear" w:color="auto" w:fill="auto"/>
        <w:spacing w:before="0" w:after="0" w:line="320" w:lineRule="exact"/>
        <w:ind w:firstLine="62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9" behindDoc="1" locked="0" layoutInCell="1" allowOverlap="1">
                <wp:simplePos x="0" y="0"/>
                <wp:positionH relativeFrom="margin">
                  <wp:posOffset>34290</wp:posOffset>
                </wp:positionH>
                <wp:positionV relativeFrom="paragraph">
                  <wp:posOffset>1248410</wp:posOffset>
                </wp:positionV>
                <wp:extent cx="2948940" cy="311150"/>
                <wp:effectExtent l="0" t="0" r="3810" b="4445"/>
                <wp:wrapTopAndBottom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475" w:rsidRDefault="00612930">
                            <w:pPr>
                              <w:pStyle w:val="20"/>
                              <w:shd w:val="clear" w:color="auto" w:fill="auto"/>
                              <w:spacing w:before="0" w:after="0" w:line="245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Начальник</w:t>
                            </w:r>
                            <w:r>
                              <w:rPr>
                                <w:rStyle w:val="2Exact"/>
                              </w:rPr>
                              <w:t xml:space="preserve"> </w:t>
                            </w:r>
                            <w:r>
                              <w:rPr>
                                <w:rStyle w:val="2Exact"/>
                              </w:rPr>
                              <w:t xml:space="preserve"> государственного жилищного надзора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2.7pt;margin-top:98.3pt;width:232.2pt;height:24.5pt;z-index:-12582937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JVAsAIAALA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" filled="f" stroked="f">
                <v:textbox style="mso-fit-shape-to-text:t" inset="0,0,0,0">
                  <w:txbxContent>
                    <w:p w:rsidR="00696475" w:rsidRDefault="00612930">
                      <w:pPr>
                        <w:pStyle w:val="20"/>
                        <w:shd w:val="clear" w:color="auto" w:fill="auto"/>
                        <w:spacing w:before="0" w:after="0" w:line="245" w:lineRule="exact"/>
                        <w:jc w:val="left"/>
                      </w:pPr>
                      <w:r>
                        <w:rPr>
                          <w:rStyle w:val="2Exact"/>
                        </w:rPr>
                        <w:t>Начальник</w:t>
                      </w:r>
                      <w:r>
                        <w:rPr>
                          <w:rStyle w:val="2Exact"/>
                        </w:rPr>
                        <w:t xml:space="preserve"> </w:t>
                      </w:r>
                      <w:r>
                        <w:rPr>
                          <w:rStyle w:val="2Exact"/>
                        </w:rPr>
                        <w:t xml:space="preserve"> государственного жилищного надзора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334010" distL="63500" distR="63500" simplePos="0" relativeHeight="377487111" behindDoc="1" locked="0" layoutInCell="1" allowOverlap="1">
                <wp:simplePos x="0" y="0"/>
                <wp:positionH relativeFrom="margin">
                  <wp:posOffset>4660900</wp:posOffset>
                </wp:positionH>
                <wp:positionV relativeFrom="paragraph">
                  <wp:posOffset>1379855</wp:posOffset>
                </wp:positionV>
                <wp:extent cx="1353185" cy="177800"/>
                <wp:effectExtent l="0" t="0" r="1905" b="0"/>
                <wp:wrapTopAndBottom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475" w:rsidRDefault="00696475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367pt;margin-top:108.65pt;width:106.55pt;height:14pt;z-index:-125829369;visibility:visible;mso-wrap-style:square;mso-width-percent:0;mso-height-percent:0;mso-wrap-distance-left:5pt;mso-wrap-distance-top:0;mso-wrap-distance-right:5pt;mso-wrap-distance-bottom:26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" filled="f" stroked="f">
                <v:textbox style="mso-fit-shape-to-text:t" inset="0,0,0,0">
                  <w:txbxContent>
                    <w:p w:rsidR="00696475" w:rsidRDefault="00696475">
                      <w:pPr>
                        <w:pStyle w:val="20"/>
                        <w:shd w:val="clear" w:color="auto" w:fill="auto"/>
                        <w:spacing w:before="0" w:after="0"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12930">
        <w:t>При возникновении дополнительных вопросов по Вашему обращению, Вы можете обратиться в комитет по номеру телефона, указанному ниже, или записаться на личный прием по номеру телефона приемной:</w:t>
      </w:r>
      <w:r w:rsidR="00612930">
        <w:t>.</w:t>
      </w:r>
    </w:p>
    <w:p w:rsidR="00696475" w:rsidRDefault="00696475">
      <w:pPr>
        <w:pStyle w:val="90"/>
        <w:shd w:val="clear" w:color="auto" w:fill="auto"/>
        <w:ind w:right="6040"/>
      </w:pPr>
    </w:p>
    <w:sectPr w:rsidR="00696475">
      <w:headerReference w:type="default" r:id="rId8"/>
      <w:pgSz w:w="11900" w:h="16840"/>
      <w:pgMar w:top="1102" w:right="522" w:bottom="707" w:left="18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930" w:rsidRDefault="00612930">
      <w:r>
        <w:separator/>
      </w:r>
    </w:p>
  </w:endnote>
  <w:endnote w:type="continuationSeparator" w:id="0">
    <w:p w:rsidR="00612930" w:rsidRDefault="00612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930" w:rsidRDefault="00612930"/>
  </w:footnote>
  <w:footnote w:type="continuationSeparator" w:id="0">
    <w:p w:rsidR="00612930" w:rsidRDefault="006129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75" w:rsidRDefault="003D792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4142105</wp:posOffset>
              </wp:positionH>
              <wp:positionV relativeFrom="page">
                <wp:posOffset>417830</wp:posOffset>
              </wp:positionV>
              <wp:extent cx="76835" cy="200660"/>
              <wp:effectExtent l="0" t="0" r="63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6475" w:rsidRDefault="00612930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D7921" w:rsidRPr="003D7921">
                            <w:rPr>
                              <w:rStyle w:val="a7"/>
                              <w:noProof/>
                            </w:rPr>
                            <w:t>3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326.15pt;margin-top:32.9pt;width:6.05pt;height:15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" filled="f" stroked="f">
              <v:textbox style="mso-fit-shape-to-text:t" inset="0,0,0,0">
                <w:txbxContent>
                  <w:p w:rsidR="00696475" w:rsidRDefault="00612930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D7921" w:rsidRPr="003D7921">
                      <w:rPr>
                        <w:rStyle w:val="a7"/>
                        <w:noProof/>
                      </w:rPr>
                      <w:t>3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A1600"/>
    <w:multiLevelType w:val="multilevel"/>
    <w:tmpl w:val="856A9E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475"/>
    <w:rsid w:val="003D7921"/>
    <w:rsid w:val="00612930"/>
    <w:rsid w:val="006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491970"/>
  <w15:docId w15:val="{71FDD326-1BD4-41F2-B8C0-4222EBF31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7Candara4ptExact">
    <w:name w:val="Основной текст (7) + Candara;4 pt;Не полужирный Exact"/>
    <w:basedOn w:val="7Exact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Candara4ptExact0">
    <w:name w:val="Основной текст (7) + Candara;4 pt Exact"/>
    <w:basedOn w:val="7Exact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2pt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1pt">
    <w:name w:val="Основной текст (2) + 12 pt;Полужирный;Интервал 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a7">
    <w:name w:val="Колонтитул"/>
    <w:basedOn w:val="a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Sylfaen13pt">
    <w:name w:val="Основной текст (2) + Sylfaen;13 pt;Курсив"/>
    <w:basedOn w:val="2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9Sylfaen10pt">
    <w:name w:val="Основной текст (9) + Sylfaen;10 pt"/>
    <w:basedOn w:val="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94pt">
    <w:name w:val="Основной текст (9) + 4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" w:after="18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7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60" w:after="36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60" w:line="173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Sylfaen" w:eastAsia="Sylfaen" w:hAnsi="Sylfaen" w:cs="Sylfaen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320" w:lineRule="exact"/>
      <w:ind w:firstLine="58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2943</Words>
  <Characters>16780</Characters>
  <Application>Microsoft Office Word</Application>
  <DocSecurity>0</DocSecurity>
  <Lines>139</Lines>
  <Paragraphs>39</Paragraphs>
  <ScaleCrop>false</ScaleCrop>
  <Company/>
  <LinksUpToDate>false</LinksUpToDate>
  <CharactersWithSpaces>19684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Îòñêàíèðîâàííûå äîêóìåíòû OneTouch 4.6</dc:title>
  <dc:subject>Îòñêàíèðîâàííûå äîêóìåíòû</dc:subject>
  <dc:creator>Denisz</dc:creator>
  <cp:keywords/>
  <cp:lastModifiedBy>Denisz</cp:lastModifiedBy>
  <cp:revision>1</cp:revision>
  <dcterms:created xsi:type="dcterms:W3CDTF">2019-02-19T19:24:00Z</dcterms:created>
  <dcterms:modified xsi:type="dcterms:W3CDTF">2019-02-19T19:27:00Z</dcterms:modified>
</cp:coreProperties>
</file>