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19A" w:rsidRPr="00306F15" w:rsidRDefault="0007119A" w:rsidP="0007119A">
      <w:pPr>
        <w:keepNext/>
        <w:jc w:val="center"/>
        <w:rPr>
          <w:rFonts w:ascii="Times New Roman" w:eastAsia="Times New Roman" w:hAnsi="Times New Roman" w:cs="Times New Roman"/>
          <w:b/>
          <w:bCs/>
          <w:sz w:val="30"/>
          <w:szCs w:val="30"/>
          <w:lang w:eastAsia="ru-RU"/>
        </w:rPr>
      </w:pPr>
      <w:r>
        <w:rPr>
          <w:rFonts w:ascii="Times New Roman" w:eastAsia="Times New Roman" w:hAnsi="Times New Roman" w:cs="Times New Roman"/>
          <w:sz w:val="28"/>
          <w:szCs w:val="28"/>
          <w:lang w:eastAsia="ru-RU"/>
        </w:rPr>
        <w:t>Замечания в заключении</w:t>
      </w:r>
      <w:r w:rsidR="00E94BEA">
        <w:rPr>
          <w:rFonts w:ascii="Times New Roman" w:eastAsia="Times New Roman" w:hAnsi="Times New Roman" w:cs="Times New Roman"/>
          <w:sz w:val="28"/>
          <w:szCs w:val="28"/>
          <w:lang w:eastAsia="ru-RU"/>
        </w:rPr>
        <w:t xml:space="preserve"> Комитета ГД по труду, социальной политике и делам ветеранов</w:t>
      </w:r>
      <w:bookmarkStart w:id="0" w:name="_GoBack"/>
      <w:bookmarkEnd w:id="0"/>
      <w:r>
        <w:rPr>
          <w:rFonts w:ascii="Times New Roman" w:eastAsia="Times New Roman" w:hAnsi="Times New Roman" w:cs="Times New Roman"/>
          <w:sz w:val="28"/>
          <w:szCs w:val="28"/>
          <w:lang w:eastAsia="ru-RU"/>
        </w:rPr>
        <w:t xml:space="preserve"> к </w:t>
      </w:r>
      <w:r w:rsidRPr="00306F15">
        <w:rPr>
          <w:rFonts w:ascii="Times New Roman" w:eastAsia="Times New Roman" w:hAnsi="Times New Roman" w:cs="Times New Roman"/>
          <w:b/>
          <w:bCs/>
          <w:sz w:val="28"/>
          <w:szCs w:val="28"/>
          <w:lang w:eastAsia="ru-RU"/>
        </w:rPr>
        <w:t xml:space="preserve">проекту федерального закона </w:t>
      </w:r>
      <w:r w:rsidRPr="00306F15">
        <w:rPr>
          <w:rFonts w:ascii="Times New Roman" w:eastAsia="Times New Roman" w:hAnsi="Times New Roman" w:cs="Times New Roman"/>
          <w:b/>
          <w:color w:val="000000"/>
          <w:sz w:val="28"/>
          <w:szCs w:val="28"/>
          <w:lang w:eastAsia="ru-RU"/>
        </w:rPr>
        <w:t xml:space="preserve">№ </w:t>
      </w:r>
      <w:r w:rsidRPr="00306F15">
        <w:rPr>
          <w:rFonts w:ascii="Times New Roman" w:eastAsia="Times New Roman" w:hAnsi="Times New Roman" w:cs="Times New Roman"/>
          <w:b/>
          <w:bCs/>
          <w:sz w:val="28"/>
          <w:szCs w:val="28"/>
          <w:lang w:eastAsia="ru-RU"/>
        </w:rPr>
        <w:t>802503-7</w:t>
      </w:r>
    </w:p>
    <w:p w:rsidR="0007119A" w:rsidRPr="00306F15" w:rsidRDefault="0007119A" w:rsidP="0007119A">
      <w:pPr>
        <w:spacing w:after="0" w:line="240" w:lineRule="auto"/>
        <w:ind w:right="-2"/>
        <w:jc w:val="center"/>
        <w:rPr>
          <w:rFonts w:ascii="Times New Roman" w:eastAsia="Times New Roman" w:hAnsi="Times New Roman" w:cs="Times New Roman"/>
          <w:b/>
          <w:bCs/>
          <w:sz w:val="30"/>
          <w:szCs w:val="30"/>
          <w:lang w:eastAsia="ru-RU"/>
        </w:rPr>
      </w:pPr>
      <w:r w:rsidRPr="00306F15">
        <w:rPr>
          <w:rFonts w:ascii="Times New Roman" w:eastAsia="Times New Roman" w:hAnsi="Times New Roman" w:cs="Times New Roman"/>
          <w:b/>
          <w:color w:val="000000"/>
          <w:sz w:val="28"/>
          <w:szCs w:val="28"/>
          <w:lang w:eastAsia="ru-RU"/>
        </w:rPr>
        <w:t>"</w:t>
      </w:r>
      <w:r w:rsidRPr="00306F15">
        <w:rPr>
          <w:rFonts w:ascii="Times New Roman" w:eastAsia="Times New Roman" w:hAnsi="Times New Roman" w:cs="Times New Roman"/>
          <w:b/>
          <w:bCs/>
          <w:sz w:val="30"/>
          <w:szCs w:val="30"/>
          <w:lang w:eastAsia="ru-RU"/>
        </w:rPr>
        <w:t>О федеральном бюджете на 2020 год</w:t>
      </w:r>
      <w:r w:rsidRPr="00306F15">
        <w:rPr>
          <w:rFonts w:ascii="Times New Roman" w:eastAsia="Times New Roman" w:hAnsi="Times New Roman" w:cs="Times New Roman"/>
          <w:b/>
          <w:sz w:val="24"/>
          <w:szCs w:val="24"/>
          <w:lang w:eastAsia="ru-RU"/>
        </w:rPr>
        <w:t xml:space="preserve"> </w:t>
      </w:r>
      <w:r w:rsidRPr="00306F15">
        <w:rPr>
          <w:rFonts w:ascii="Times New Roman" w:eastAsia="Times New Roman" w:hAnsi="Times New Roman" w:cs="Times New Roman"/>
          <w:b/>
          <w:bCs/>
          <w:sz w:val="30"/>
          <w:szCs w:val="30"/>
          <w:lang w:eastAsia="ru-RU"/>
        </w:rPr>
        <w:t xml:space="preserve">и на плановый </w:t>
      </w:r>
    </w:p>
    <w:p w:rsidR="0007119A" w:rsidRDefault="0007119A" w:rsidP="0007119A">
      <w:pPr>
        <w:keepNext/>
        <w:spacing w:after="0" w:line="240" w:lineRule="auto"/>
        <w:jc w:val="center"/>
        <w:rPr>
          <w:rFonts w:ascii="Times New Roman" w:eastAsia="Times New Roman" w:hAnsi="Times New Roman" w:cs="Times New Roman"/>
          <w:b/>
          <w:color w:val="000000"/>
          <w:sz w:val="28"/>
          <w:szCs w:val="28"/>
          <w:lang w:eastAsia="ru-RU"/>
        </w:rPr>
      </w:pPr>
      <w:r w:rsidRPr="00306F15">
        <w:rPr>
          <w:rFonts w:ascii="Times New Roman" w:eastAsia="Times New Roman" w:hAnsi="Times New Roman" w:cs="Times New Roman"/>
          <w:b/>
          <w:bCs/>
          <w:sz w:val="30"/>
          <w:szCs w:val="30"/>
          <w:lang w:eastAsia="ru-RU"/>
        </w:rPr>
        <w:t>период 2021 и 2022 годов</w:t>
      </w:r>
      <w:r w:rsidRPr="00306F15">
        <w:rPr>
          <w:rFonts w:ascii="Times New Roman" w:eastAsia="Times New Roman" w:hAnsi="Times New Roman" w:cs="Times New Roman"/>
          <w:b/>
          <w:color w:val="000000"/>
          <w:sz w:val="28"/>
          <w:szCs w:val="28"/>
          <w:lang w:eastAsia="ru-RU"/>
        </w:rPr>
        <w:t>"</w:t>
      </w:r>
    </w:p>
    <w:p w:rsidR="0007119A" w:rsidRPr="00306F15" w:rsidRDefault="0007119A" w:rsidP="0007119A">
      <w:pPr>
        <w:keepNext/>
        <w:spacing w:after="0" w:line="240" w:lineRule="auto"/>
        <w:jc w:val="center"/>
        <w:rPr>
          <w:rFonts w:ascii="Times New Roman" w:eastAsia="Times New Roman" w:hAnsi="Times New Roman" w:cs="Times New Roman"/>
          <w:b/>
          <w:color w:val="000000"/>
          <w:sz w:val="28"/>
          <w:szCs w:val="28"/>
          <w:lang w:eastAsia="ru-RU"/>
        </w:rPr>
      </w:pPr>
    </w:p>
    <w:p w:rsidR="0007119A" w:rsidRPr="00E94BEA" w:rsidRDefault="0007119A" w:rsidP="0007119A">
      <w:pPr>
        <w:autoSpaceDE w:val="0"/>
        <w:autoSpaceDN w:val="0"/>
        <w:adjustRightInd w:val="0"/>
        <w:spacing w:line="360" w:lineRule="auto"/>
        <w:rPr>
          <w:szCs w:val="26"/>
        </w:rPr>
      </w:pPr>
      <w:r w:rsidRPr="00E94BEA">
        <w:rPr>
          <w:szCs w:val="26"/>
        </w:rPr>
        <w:t xml:space="preserve">При этом комитет обращает внимание, что в соответствии со сводной бюджетной росписью по состоянию на 1 сентября 2019 года бюджетные ассигнования на реализацию указанной госпрограммы в 2019 году уменьшены на 25,3 млрд. рублей, или на 1,85 процента к назначениям, первоначально установленным Законом № 459-ФЗ. </w:t>
      </w:r>
    </w:p>
    <w:p w:rsidR="0007119A" w:rsidRPr="00E94BEA" w:rsidRDefault="0007119A" w:rsidP="0007119A">
      <w:pPr>
        <w:autoSpaceDE w:val="0"/>
        <w:autoSpaceDN w:val="0"/>
        <w:adjustRightInd w:val="0"/>
        <w:spacing w:line="360" w:lineRule="auto"/>
        <w:rPr>
          <w:szCs w:val="26"/>
        </w:rPr>
      </w:pPr>
      <w:r w:rsidRPr="00E94BEA">
        <w:rPr>
          <w:szCs w:val="26"/>
        </w:rPr>
        <w:t xml:space="preserve">Аналогичная корректировка в сторону уменьшения бюджетных ассигнований на реализацию госпрограммы осуществлялась в предыдущие бюджетные периоды. Так, например, исполнение бюджетных назначений в 2018 году к первоначально установленным составило 96,1 процента (общее уменьшение - 51,8 млрд. рублей), в 2017 году - 95,6 процента (общее уменьшение - 58,3 млрд. рублей). Причем </w:t>
      </w:r>
      <w:r w:rsidRPr="00E94BEA">
        <w:t>значительная часть средств, снятых с госпрограммы при исполнении федерального бюджета в очередном финансовом году, перераспределяется на иные направления, не относящиеся к сфере социального обеспечения.</w:t>
      </w:r>
    </w:p>
    <w:p w:rsidR="0007119A" w:rsidRPr="00E94BEA" w:rsidRDefault="0007119A" w:rsidP="0007119A">
      <w:pPr>
        <w:autoSpaceDE w:val="0"/>
        <w:autoSpaceDN w:val="0"/>
        <w:adjustRightInd w:val="0"/>
        <w:spacing w:line="360" w:lineRule="auto"/>
        <w:rPr>
          <w:szCs w:val="26"/>
        </w:rPr>
      </w:pPr>
      <w:r w:rsidRPr="00E94BEA">
        <w:rPr>
          <w:szCs w:val="26"/>
        </w:rPr>
        <w:t>В то же время, целый ряд мероприятий по реализации социальных гарантий, установленных законодательством Российской Федерации, как в рамках данной госпрограммы, так и включенных в состав иных госпрограмм, ежегодно существенно недофинансируются.</w:t>
      </w:r>
    </w:p>
    <w:p w:rsidR="0007119A" w:rsidRPr="00E94BEA" w:rsidRDefault="0007119A" w:rsidP="0007119A">
      <w:pPr>
        <w:autoSpaceDE w:val="0"/>
        <w:autoSpaceDN w:val="0"/>
        <w:adjustRightInd w:val="0"/>
        <w:spacing w:line="360" w:lineRule="auto"/>
        <w:rPr>
          <w:szCs w:val="26"/>
        </w:rPr>
      </w:pPr>
      <w:r w:rsidRPr="00E94BEA">
        <w:rPr>
          <w:szCs w:val="26"/>
        </w:rPr>
        <w:t xml:space="preserve">Требования комитета обеспечить достаточными финансовыми ресурсами реализацию установленных государственных гарантий в сфере социального обеспечения Правительством Российской Федерации игнорируются. </w:t>
      </w:r>
    </w:p>
    <w:p w:rsidR="0007119A" w:rsidRPr="00E94BEA" w:rsidRDefault="0007119A" w:rsidP="0007119A">
      <w:pPr>
        <w:autoSpaceDE w:val="0"/>
        <w:autoSpaceDN w:val="0"/>
        <w:adjustRightInd w:val="0"/>
        <w:spacing w:line="360" w:lineRule="auto"/>
        <w:rPr>
          <w:szCs w:val="26"/>
        </w:rPr>
      </w:pPr>
      <w:r w:rsidRPr="00E94BEA">
        <w:rPr>
          <w:szCs w:val="26"/>
        </w:rPr>
        <w:t>Комитет считает такой подход к планированию бюджетных ассигнований на реализацию обязательств Российской Федерации в сфере социального обеспечения неэффективным и социально безответственным.</w:t>
      </w:r>
    </w:p>
    <w:p w:rsidR="0007119A" w:rsidRPr="00E94BEA" w:rsidRDefault="0007119A" w:rsidP="0007119A">
      <w:pPr>
        <w:pStyle w:val="a4"/>
        <w:spacing w:before="120"/>
        <w:ind w:firstLine="709"/>
        <w:rPr>
          <w:sz w:val="24"/>
          <w:szCs w:val="26"/>
        </w:rPr>
      </w:pPr>
      <w:r w:rsidRPr="00E94BEA">
        <w:rPr>
          <w:b/>
          <w:sz w:val="24"/>
          <w:szCs w:val="26"/>
        </w:rPr>
        <w:t xml:space="preserve">2. </w:t>
      </w:r>
      <w:r w:rsidRPr="00E94BEA">
        <w:rPr>
          <w:sz w:val="24"/>
          <w:szCs w:val="26"/>
        </w:rPr>
        <w:t>Бюджетные ассигнования на обеспечение инвалидов техническими средствами реабилитации, передаваемые в качестве межбюджетных трансфертов бюджету Фонда социального страхования Российской Федерации, на планируемый период 2020-2022 годов увеличены до 33,3 млрд. рублей ежегодно (на 2019 год - 28,8 млрд. рублей).</w:t>
      </w:r>
    </w:p>
    <w:p w:rsidR="0007119A" w:rsidRPr="00E94BEA" w:rsidRDefault="0007119A" w:rsidP="0007119A">
      <w:pPr>
        <w:spacing w:line="360" w:lineRule="auto"/>
      </w:pPr>
      <w:r w:rsidRPr="00E94BEA">
        <w:t xml:space="preserve">Однако по оценкам комитета, объем средств на указанные цели, рассчитанный в соответствии с Методикой распределения субвенций, предоставляемых из федерального бюджета бюджетам субъектов Российской Федерации на осуществление переданных полномочий, утвержденной Постановлением Правительства Российской Федерации от                     27 декабря 2010 года № </w:t>
      </w:r>
      <w:r w:rsidRPr="00E94BEA">
        <w:lastRenderedPageBreak/>
        <w:t>1137 на период 2020-2022 годов, должен составить на период                    2020-2022 годов в сумме до 36,3 млрд. рублей ежегодно.</w:t>
      </w:r>
    </w:p>
    <w:p w:rsidR="0007119A" w:rsidRPr="00E94BEA" w:rsidRDefault="0007119A" w:rsidP="0007119A">
      <w:pPr>
        <w:spacing w:line="360" w:lineRule="auto"/>
      </w:pPr>
      <w:r w:rsidRPr="00E94BEA">
        <w:t>Таким образом, данные социальные обязательства Российской Федерации, по-прежнему, недофинансируются.</w:t>
      </w:r>
    </w:p>
    <w:p w:rsidR="0007119A" w:rsidRPr="00E94BEA" w:rsidRDefault="0007119A" w:rsidP="0007119A">
      <w:pPr>
        <w:pStyle w:val="a4"/>
        <w:spacing w:before="120"/>
        <w:ind w:firstLine="709"/>
        <w:rPr>
          <w:sz w:val="24"/>
        </w:rPr>
      </w:pPr>
      <w:r w:rsidRPr="00E94BEA">
        <w:rPr>
          <w:b/>
          <w:sz w:val="24"/>
          <w:szCs w:val="26"/>
        </w:rPr>
        <w:t xml:space="preserve">3. </w:t>
      </w:r>
      <w:r w:rsidRPr="00E94BEA">
        <w:rPr>
          <w:sz w:val="24"/>
        </w:rPr>
        <w:t>При подготовке законопроекта к рассмотрению во втором чтении комитет считает необходимым предусмотреть дополнительные ассигнования на оказание государственной социальной помощи отдельным категориям граждан в части оплаты санаторно-курортного лечения, а также проезда на междугородном транспорте к месту лечения и обратно.</w:t>
      </w:r>
    </w:p>
    <w:p w:rsidR="0007119A" w:rsidRPr="00E94BEA" w:rsidRDefault="0007119A" w:rsidP="0007119A">
      <w:pPr>
        <w:spacing w:before="120" w:line="336" w:lineRule="auto"/>
        <w:rPr>
          <w:szCs w:val="26"/>
        </w:rPr>
      </w:pPr>
      <w:r w:rsidRPr="00E94BEA">
        <w:rPr>
          <w:b/>
          <w:szCs w:val="26"/>
        </w:rPr>
        <w:t>4.</w:t>
      </w:r>
      <w:r w:rsidRPr="00E94BEA">
        <w:rPr>
          <w:szCs w:val="26"/>
        </w:rPr>
        <w:t xml:space="preserve"> Принимая во внимание сохраняющуюся на протяжении многих лет высокую численность граждан, </w:t>
      </w:r>
      <w:r w:rsidRPr="00E94BEA">
        <w:t>вставших на учет в качестве нуждающихся в улучшении жилищных условий до 1 января 2005 года, и до сих пор</w:t>
      </w:r>
      <w:r w:rsidRPr="00E94BEA">
        <w:rPr>
          <w:szCs w:val="26"/>
        </w:rPr>
        <w:t xml:space="preserve"> не обеспеченных в соответствии с Федеральным законом № 181-ФЗ и Федеральным законом № 5-ФЗ жильем, комитет настаивает, чтобы при</w:t>
      </w:r>
      <w:r w:rsidRPr="00E94BEA">
        <w:t xml:space="preserve"> подготовке законопроекта к рассмотрению во втором чтении</w:t>
      </w:r>
      <w:r w:rsidRPr="00E94BEA">
        <w:rPr>
          <w:szCs w:val="26"/>
        </w:rPr>
        <w:t xml:space="preserve"> бюджетные ассигнования на указанные цели на рассматриваемый период были увеличены в сумме, не менее, чем на 4 млрд. рублей ежегодно.</w:t>
      </w:r>
    </w:p>
    <w:p w:rsidR="0007119A" w:rsidRPr="00E94BEA" w:rsidRDefault="0007119A" w:rsidP="0007119A">
      <w:pPr>
        <w:autoSpaceDE w:val="0"/>
        <w:autoSpaceDN w:val="0"/>
        <w:adjustRightInd w:val="0"/>
        <w:spacing w:before="120" w:line="360" w:lineRule="auto"/>
        <w:rPr>
          <w:szCs w:val="26"/>
        </w:rPr>
      </w:pPr>
      <w:r w:rsidRPr="00E94BEA">
        <w:rPr>
          <w:b/>
          <w:szCs w:val="26"/>
        </w:rPr>
        <w:t xml:space="preserve">5. </w:t>
      </w:r>
      <w:r w:rsidRPr="00E94BEA">
        <w:rPr>
          <w:szCs w:val="26"/>
        </w:rPr>
        <w:t>Комитет обращает внимание Правительства Российской Федерации на необходимость при внесении изменений в государственную программу Российской Федерации "Доступная среда" на 2011-2020 годы" максимально учесть все замечания, отмеченные в Отчете Счетной палаты Российской Федерации о результатах проведения контрольного мероприятия "Проверка эффективности использования средств федерального бюджета, направленных в 2016-2018 годах и в истекшем периоде 2019 года на реализацию мероприятий по совершенствованию государственной системы медико-социальной экспертизы".</w:t>
      </w:r>
    </w:p>
    <w:p w:rsidR="0007119A" w:rsidRPr="00E94BEA" w:rsidRDefault="0007119A" w:rsidP="0007119A">
      <w:pPr>
        <w:spacing w:before="120" w:line="336" w:lineRule="auto"/>
      </w:pPr>
      <w:r w:rsidRPr="00E94BEA">
        <w:rPr>
          <w:b/>
        </w:rPr>
        <w:t xml:space="preserve">6. </w:t>
      </w:r>
      <w:r w:rsidRPr="00E94BEA">
        <w:t>Комитет предлагает в постановлении Государственной Думы о принятии федерального закона "О федеральном бюджете на 2020 год и на плановый период 2021 и              2022 годов рекомендовать Президенту Российской Федерации, Правительству Российской Федерации при уточнении в следующем финансовом году параметров федерального бюджета на 2020 год и на плановый период 2021 и 2022 годов рассмотреть возможность увеличения компенсационных выплат лицам, осуществляющим уход за нетрудоспособными гражданами и инвалидами I группы, в соответствии с Указом № 1455.</w:t>
      </w:r>
    </w:p>
    <w:p w:rsidR="0007119A" w:rsidRDefault="0007119A" w:rsidP="0007119A">
      <w:pPr>
        <w:pStyle w:val="a4"/>
        <w:spacing w:before="240" w:line="336" w:lineRule="auto"/>
        <w:ind w:firstLine="709"/>
        <w:rPr>
          <w:sz w:val="24"/>
          <w:szCs w:val="26"/>
        </w:rPr>
      </w:pPr>
      <w:r w:rsidRPr="00E94BEA">
        <w:rPr>
          <w:bCs/>
          <w:sz w:val="24"/>
          <w:szCs w:val="26"/>
        </w:rPr>
        <w:t xml:space="preserve">С учетом изложенных замечаний и предложений, комитет рекомендует проект федерального закона </w:t>
      </w:r>
      <w:r w:rsidRPr="00E94BEA">
        <w:rPr>
          <w:sz w:val="24"/>
          <w:szCs w:val="26"/>
        </w:rPr>
        <w:t xml:space="preserve">№ 802503-7 "О федеральном бюджете на 2020 год и на плановый период 2021 и 2022 годов" </w:t>
      </w:r>
      <w:r w:rsidRPr="00E94BEA">
        <w:rPr>
          <w:bCs/>
          <w:sz w:val="24"/>
          <w:szCs w:val="26"/>
        </w:rPr>
        <w:t>к принятию в первом чтении</w:t>
      </w:r>
      <w:r w:rsidRPr="00E94BEA">
        <w:rPr>
          <w:sz w:val="24"/>
          <w:szCs w:val="26"/>
        </w:rPr>
        <w:t>.</w:t>
      </w:r>
    </w:p>
    <w:p w:rsidR="0007119A" w:rsidRDefault="0007119A" w:rsidP="0007119A">
      <w:pPr>
        <w:pStyle w:val="a4"/>
        <w:spacing w:before="240" w:line="336" w:lineRule="auto"/>
        <w:ind w:firstLine="709"/>
        <w:rPr>
          <w:sz w:val="24"/>
          <w:szCs w:val="26"/>
        </w:rPr>
      </w:pPr>
    </w:p>
    <w:p w:rsidR="0007119A" w:rsidRDefault="0007119A" w:rsidP="0007119A">
      <w:pPr>
        <w:pStyle w:val="a4"/>
        <w:spacing w:before="240" w:line="336" w:lineRule="auto"/>
        <w:ind w:firstLine="0"/>
        <w:rPr>
          <w:sz w:val="24"/>
          <w:szCs w:val="26"/>
        </w:rPr>
      </w:pPr>
      <w:r>
        <w:rPr>
          <w:sz w:val="24"/>
          <w:szCs w:val="26"/>
        </w:rPr>
        <w:t xml:space="preserve">Председатель комитета                                                                                                           </w:t>
      </w:r>
      <w:proofErr w:type="spellStart"/>
      <w:r>
        <w:rPr>
          <w:sz w:val="24"/>
          <w:szCs w:val="26"/>
        </w:rPr>
        <w:t>Я.Е.Нилов</w:t>
      </w:r>
      <w:proofErr w:type="spellEnd"/>
    </w:p>
    <w:p w:rsidR="0007119A" w:rsidRPr="00B95CD6" w:rsidRDefault="0007119A" w:rsidP="0007119A">
      <w:pPr>
        <w:pStyle w:val="a4"/>
        <w:spacing w:before="240" w:line="336" w:lineRule="auto"/>
        <w:ind w:firstLine="0"/>
        <w:rPr>
          <w:sz w:val="24"/>
          <w:szCs w:val="26"/>
        </w:rPr>
      </w:pPr>
    </w:p>
    <w:p w:rsidR="00306F15" w:rsidRPr="00306F15" w:rsidRDefault="00732784" w:rsidP="00306F15">
      <w:pPr>
        <w:keepNext/>
        <w:jc w:val="center"/>
        <w:rPr>
          <w:rFonts w:ascii="Times New Roman" w:eastAsia="Times New Roman" w:hAnsi="Times New Roman" w:cs="Times New Roman"/>
          <w:b/>
          <w:bCs/>
          <w:sz w:val="30"/>
          <w:szCs w:val="30"/>
          <w:lang w:eastAsia="ru-RU"/>
        </w:rPr>
      </w:pPr>
      <w:r>
        <w:rPr>
          <w:rFonts w:ascii="Times New Roman" w:eastAsia="Times New Roman" w:hAnsi="Times New Roman" w:cs="Times New Roman"/>
          <w:sz w:val="28"/>
          <w:szCs w:val="28"/>
          <w:lang w:eastAsia="ru-RU"/>
        </w:rPr>
        <w:t xml:space="preserve">Замечания </w:t>
      </w:r>
      <w:r w:rsidR="00306F15">
        <w:rPr>
          <w:rFonts w:ascii="Times New Roman" w:eastAsia="Times New Roman" w:hAnsi="Times New Roman" w:cs="Times New Roman"/>
          <w:sz w:val="28"/>
          <w:szCs w:val="28"/>
          <w:lang w:eastAsia="ru-RU"/>
        </w:rPr>
        <w:t xml:space="preserve">в заключении Комитета ГД по обороне к </w:t>
      </w:r>
      <w:r w:rsidR="00306F15" w:rsidRPr="00306F15">
        <w:rPr>
          <w:rFonts w:ascii="Times New Roman" w:eastAsia="Times New Roman" w:hAnsi="Times New Roman" w:cs="Times New Roman"/>
          <w:b/>
          <w:bCs/>
          <w:sz w:val="28"/>
          <w:szCs w:val="28"/>
          <w:lang w:eastAsia="ru-RU"/>
        </w:rPr>
        <w:t xml:space="preserve">проекту федерального закона </w:t>
      </w:r>
      <w:r w:rsidR="00306F15" w:rsidRPr="00306F15">
        <w:rPr>
          <w:rFonts w:ascii="Times New Roman" w:eastAsia="Times New Roman" w:hAnsi="Times New Roman" w:cs="Times New Roman"/>
          <w:b/>
          <w:color w:val="000000"/>
          <w:sz w:val="28"/>
          <w:szCs w:val="28"/>
          <w:lang w:eastAsia="ru-RU"/>
        </w:rPr>
        <w:t xml:space="preserve">№ </w:t>
      </w:r>
      <w:r w:rsidR="00306F15" w:rsidRPr="00306F15">
        <w:rPr>
          <w:rFonts w:ascii="Times New Roman" w:eastAsia="Times New Roman" w:hAnsi="Times New Roman" w:cs="Times New Roman"/>
          <w:b/>
          <w:bCs/>
          <w:sz w:val="28"/>
          <w:szCs w:val="28"/>
          <w:lang w:eastAsia="ru-RU"/>
        </w:rPr>
        <w:t>802503-7</w:t>
      </w:r>
    </w:p>
    <w:p w:rsidR="00306F15" w:rsidRPr="00306F15" w:rsidRDefault="00306F15" w:rsidP="00306F15">
      <w:pPr>
        <w:spacing w:after="0" w:line="240" w:lineRule="auto"/>
        <w:ind w:right="-2"/>
        <w:jc w:val="center"/>
        <w:rPr>
          <w:rFonts w:ascii="Times New Roman" w:eastAsia="Times New Roman" w:hAnsi="Times New Roman" w:cs="Times New Roman"/>
          <w:b/>
          <w:bCs/>
          <w:sz w:val="30"/>
          <w:szCs w:val="30"/>
          <w:lang w:eastAsia="ru-RU"/>
        </w:rPr>
      </w:pPr>
      <w:r w:rsidRPr="00306F15">
        <w:rPr>
          <w:rFonts w:ascii="Times New Roman" w:eastAsia="Times New Roman" w:hAnsi="Times New Roman" w:cs="Times New Roman"/>
          <w:b/>
          <w:color w:val="000000"/>
          <w:sz w:val="28"/>
          <w:szCs w:val="28"/>
          <w:lang w:eastAsia="ru-RU"/>
        </w:rPr>
        <w:t>"</w:t>
      </w:r>
      <w:r w:rsidRPr="00306F15">
        <w:rPr>
          <w:rFonts w:ascii="Times New Roman" w:eastAsia="Times New Roman" w:hAnsi="Times New Roman" w:cs="Times New Roman"/>
          <w:b/>
          <w:bCs/>
          <w:sz w:val="30"/>
          <w:szCs w:val="30"/>
          <w:lang w:eastAsia="ru-RU"/>
        </w:rPr>
        <w:t>О федеральном бюджете на 2020 год</w:t>
      </w:r>
      <w:r w:rsidRPr="00306F15">
        <w:rPr>
          <w:rFonts w:ascii="Times New Roman" w:eastAsia="Times New Roman" w:hAnsi="Times New Roman" w:cs="Times New Roman"/>
          <w:b/>
          <w:sz w:val="24"/>
          <w:szCs w:val="24"/>
          <w:lang w:eastAsia="ru-RU"/>
        </w:rPr>
        <w:t xml:space="preserve"> </w:t>
      </w:r>
      <w:r w:rsidRPr="00306F15">
        <w:rPr>
          <w:rFonts w:ascii="Times New Roman" w:eastAsia="Times New Roman" w:hAnsi="Times New Roman" w:cs="Times New Roman"/>
          <w:b/>
          <w:bCs/>
          <w:sz w:val="30"/>
          <w:szCs w:val="30"/>
          <w:lang w:eastAsia="ru-RU"/>
        </w:rPr>
        <w:t xml:space="preserve">и на плановый </w:t>
      </w:r>
    </w:p>
    <w:p w:rsidR="00306F15" w:rsidRPr="00306F15" w:rsidRDefault="00306F15" w:rsidP="00306F15">
      <w:pPr>
        <w:keepNext/>
        <w:spacing w:after="0" w:line="240" w:lineRule="auto"/>
        <w:jc w:val="center"/>
        <w:rPr>
          <w:rFonts w:ascii="Times New Roman" w:eastAsia="Times New Roman" w:hAnsi="Times New Roman" w:cs="Times New Roman"/>
          <w:b/>
          <w:color w:val="000000"/>
          <w:sz w:val="28"/>
          <w:szCs w:val="28"/>
          <w:lang w:eastAsia="ru-RU"/>
        </w:rPr>
      </w:pPr>
      <w:r w:rsidRPr="00306F15">
        <w:rPr>
          <w:rFonts w:ascii="Times New Roman" w:eastAsia="Times New Roman" w:hAnsi="Times New Roman" w:cs="Times New Roman"/>
          <w:b/>
          <w:bCs/>
          <w:sz w:val="30"/>
          <w:szCs w:val="30"/>
          <w:lang w:eastAsia="ru-RU"/>
        </w:rPr>
        <w:t>период 2021 и 2022 годов</w:t>
      </w:r>
      <w:r w:rsidRPr="00306F15">
        <w:rPr>
          <w:rFonts w:ascii="Times New Roman" w:eastAsia="Times New Roman" w:hAnsi="Times New Roman" w:cs="Times New Roman"/>
          <w:b/>
          <w:color w:val="000000"/>
          <w:sz w:val="28"/>
          <w:szCs w:val="28"/>
          <w:lang w:eastAsia="ru-RU"/>
        </w:rPr>
        <w:t>"</w:t>
      </w:r>
    </w:p>
    <w:p w:rsidR="00732784" w:rsidRDefault="00732784" w:rsidP="00732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p>
    <w:p w:rsidR="00732784" w:rsidRPr="00732784" w:rsidRDefault="00732784" w:rsidP="00732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Законопроектом предусмотрен профицит федерального бюджета на 2020 год и на плановый период 2021 и 2022 годов.</w:t>
      </w:r>
    </w:p>
    <w:p w:rsidR="00732784" w:rsidRPr="0007119A" w:rsidRDefault="00732784" w:rsidP="00732784">
      <w:pPr>
        <w:pStyle w:val="1"/>
        <w:shd w:val="clear" w:color="auto" w:fill="auto"/>
        <w:spacing w:after="140" w:line="336" w:lineRule="auto"/>
        <w:ind w:firstLine="820"/>
      </w:pPr>
      <w:r w:rsidRPr="0007119A">
        <w:t xml:space="preserve">При этом по </w:t>
      </w:r>
      <w:r w:rsidRPr="0007119A">
        <w:rPr>
          <w:color w:val="000000"/>
          <w:lang w:bidi="ru-RU"/>
        </w:rPr>
        <w:t>отношению к ВВП доходы будут постепенно сокращаться с 18,5 % ВВП в 2019 году и 18,0 % ВВП в 2020 году до 17,7 % ВВП в 2021 году и 17,2 % ВВП в 2022 году. Указанная динамика обусловлена снижением нефтегазовых доходов по отношению к ВВП с 7,6% ВВП в 2019 году до 6,0% ВВП к 2022 году.</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Комитет по обороне неоднократно (начиная с 2016 года) отмечал проблему низкого уровня </w:t>
      </w:r>
      <w:r w:rsidRPr="00732784">
        <w:rPr>
          <w:rFonts w:ascii="Times New Roman" w:eastAsia="Times New Roman" w:hAnsi="Times New Roman" w:cs="Times New Roman"/>
          <w:b/>
          <w:sz w:val="28"/>
          <w:szCs w:val="28"/>
          <w:u w:val="single"/>
          <w:lang w:eastAsia="ru-RU"/>
        </w:rPr>
        <w:t>оплаты труда гражданского персонала воинских частей</w:t>
      </w:r>
      <w:r w:rsidRPr="00732784">
        <w:rPr>
          <w:rFonts w:ascii="Times New Roman" w:eastAsia="Times New Roman" w:hAnsi="Times New Roman" w:cs="Times New Roman"/>
          <w:sz w:val="28"/>
          <w:szCs w:val="28"/>
          <w:lang w:eastAsia="ru-RU"/>
        </w:rPr>
        <w:t xml:space="preserve"> и организаций федеральных органов исполнительной власти (за исключением категорий, подпадающих под "майские указы 2012 года"). </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При этом по ряду должностей, предусматривающих в качестве обязательного требования наличие высшего образования она едва выше минимального размера оплаты труда. </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Вместе с тем, минимальный размер оплаты труда с 1 января 2015 года по настоящее время, вырос в 2 раза (с 5 554 рублей до 11 163 рублей). За этот же период индексация оплаты труда гражданского персонала воинских частей была произведена только с 1 января 2018 на 4%, при этом Правительством Российской Федерации в период с 2014 по 2017 год не принимались решения по индексации (увеличению) оплаты труда гражданского персонала воинских частей. </w:t>
      </w:r>
    </w:p>
    <w:p w:rsidR="00732784" w:rsidRPr="00732784" w:rsidRDefault="00732784" w:rsidP="00732784">
      <w:pPr>
        <w:spacing w:after="0" w:line="360" w:lineRule="auto"/>
        <w:ind w:firstLine="83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Индексация в 2019 году с 1 октября на 4,3% не компенсирует даже уровень расчетной инфляции, так как фактическое повышение за весь 2019 год составит всего 1,07%. </w:t>
      </w:r>
    </w:p>
    <w:p w:rsidR="00732784" w:rsidRPr="00732784" w:rsidRDefault="00732784" w:rsidP="00732784">
      <w:pPr>
        <w:spacing w:after="0" w:line="360" w:lineRule="auto"/>
        <w:ind w:firstLine="83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lastRenderedPageBreak/>
        <w:t xml:space="preserve">В 2020 году </w:t>
      </w:r>
      <w:r w:rsidRPr="00732784">
        <w:rPr>
          <w:rFonts w:ascii="Times New Roman" w:eastAsia="Times New Roman" w:hAnsi="Times New Roman" w:cs="Times New Roman"/>
          <w:bCs/>
          <w:sz w:val="28"/>
          <w:szCs w:val="28"/>
          <w:lang w:eastAsia="ru-RU"/>
        </w:rPr>
        <w:t xml:space="preserve">наблюдается такая же ситуация: </w:t>
      </w:r>
      <w:r w:rsidRPr="00732784">
        <w:rPr>
          <w:rFonts w:ascii="Times New Roman" w:eastAsia="Times New Roman" w:hAnsi="Times New Roman" w:cs="Times New Roman"/>
          <w:sz w:val="28"/>
          <w:szCs w:val="28"/>
          <w:lang w:eastAsia="ru-RU"/>
        </w:rPr>
        <w:t>индексация только с                         1 октября на 3%, которая не компенсирует даже уровень расчетной инфляции (3%), так как фактическое повышение за весь 2020 год составит всего 0,75%.</w:t>
      </w:r>
    </w:p>
    <w:p w:rsidR="00732784" w:rsidRPr="00732784" w:rsidRDefault="00732784" w:rsidP="00732784">
      <w:pPr>
        <w:spacing w:after="0" w:line="360" w:lineRule="auto"/>
        <w:ind w:firstLine="83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Комитет по обороне считает, что такое положение дел для большинства категорий гражданского персонала воинских частей и организаций "силового блока" в течение последних лет практически привело к выравниванию уровней оплаты труда работников низкой квалификации по отношению к работникам с более высокой квалификацией, а также к нивелированию гарантий, связанных с оплатой труда в районах с неблагоприятными климатическими условиями. </w:t>
      </w:r>
    </w:p>
    <w:p w:rsidR="00732784" w:rsidRPr="00732784" w:rsidRDefault="00732784" w:rsidP="00732784">
      <w:pPr>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bCs/>
          <w:sz w:val="28"/>
          <w:szCs w:val="28"/>
          <w:lang w:eastAsia="ru-RU"/>
        </w:rPr>
        <w:t xml:space="preserve">Комитет по обороне при рассмотрении федерального бюджета на 2019 год и последующие годы, а </w:t>
      </w:r>
      <w:proofErr w:type="gramStart"/>
      <w:r w:rsidRPr="00732784">
        <w:rPr>
          <w:rFonts w:ascii="Times New Roman" w:eastAsia="Times New Roman" w:hAnsi="Times New Roman" w:cs="Times New Roman"/>
          <w:bCs/>
          <w:sz w:val="28"/>
          <w:szCs w:val="28"/>
          <w:lang w:eastAsia="ru-RU"/>
        </w:rPr>
        <w:t>так же</w:t>
      </w:r>
      <w:proofErr w:type="gramEnd"/>
      <w:r w:rsidRPr="00732784">
        <w:rPr>
          <w:rFonts w:ascii="Times New Roman" w:eastAsia="Times New Roman" w:hAnsi="Times New Roman" w:cs="Times New Roman"/>
          <w:bCs/>
          <w:sz w:val="28"/>
          <w:szCs w:val="28"/>
          <w:lang w:eastAsia="ru-RU"/>
        </w:rPr>
        <w:t xml:space="preserve"> при уточнении федерального бюджета на 2019 год рекомендовал Правительству Российской Федерации при формировании проекта федерального бюджета на 2020 год и на плановый период 2021 и 2022 годов проработать меры по повышению уровня оплаты труда гражданского персонала воинских частей и организаций федеральных органов исполнительной власти.</w:t>
      </w:r>
    </w:p>
    <w:p w:rsidR="00732784" w:rsidRPr="00732784" w:rsidRDefault="00732784" w:rsidP="00732784">
      <w:pPr>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bCs/>
          <w:sz w:val="28"/>
          <w:szCs w:val="28"/>
          <w:lang w:eastAsia="ru-RU"/>
        </w:rPr>
        <w:t xml:space="preserve">Рекомендации Комитета по обороне игнорируются, вопрос повышения уровня оплаты труда гражданского персонала воинских частей и организаций федеральных органов исполнительной власти </w:t>
      </w:r>
      <w:r w:rsidRPr="00732784">
        <w:rPr>
          <w:rFonts w:ascii="Times New Roman" w:eastAsia="Times New Roman" w:hAnsi="Times New Roman" w:cs="Times New Roman"/>
          <w:sz w:val="28"/>
          <w:szCs w:val="28"/>
          <w:lang w:eastAsia="ru-RU"/>
        </w:rPr>
        <w:t xml:space="preserve">на уровне Правительства Российской Федерации </w:t>
      </w:r>
      <w:r w:rsidRPr="00732784">
        <w:rPr>
          <w:rFonts w:ascii="Times New Roman" w:eastAsia="Times New Roman" w:hAnsi="Times New Roman" w:cs="Times New Roman"/>
          <w:bCs/>
          <w:sz w:val="28"/>
          <w:szCs w:val="28"/>
          <w:lang w:eastAsia="ru-RU"/>
        </w:rPr>
        <w:t>даже не обсуждался.</w:t>
      </w:r>
    </w:p>
    <w:p w:rsidR="00732784" w:rsidRPr="00732784" w:rsidRDefault="00732784" w:rsidP="00732784">
      <w:pPr>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bCs/>
          <w:sz w:val="28"/>
          <w:szCs w:val="28"/>
          <w:lang w:eastAsia="ru-RU"/>
        </w:rPr>
        <w:t>По мнению Комитета по обороне, дальнейшее игнорирование решения данной проблемы категорически недопустимо и настаивает на том, что при уточнении федерального бюджета на 2020 год Правительству Российской Федерации необходимо проработать меры по повышению уровня оплаты труда гражданского персонала воинских частей и организаций федеральных органов исполнительной власти.</w:t>
      </w:r>
    </w:p>
    <w:p w:rsidR="00732784" w:rsidRPr="00732784" w:rsidRDefault="00732784" w:rsidP="00732784">
      <w:pPr>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bCs/>
          <w:sz w:val="28"/>
          <w:szCs w:val="28"/>
          <w:lang w:eastAsia="ru-RU"/>
        </w:rPr>
        <w:t xml:space="preserve">Кроме того, </w:t>
      </w:r>
      <w:r w:rsidRPr="00732784">
        <w:rPr>
          <w:rFonts w:ascii="Times New Roman" w:eastAsia="Times New Roman" w:hAnsi="Times New Roman" w:cs="Times New Roman"/>
          <w:sz w:val="28"/>
          <w:szCs w:val="28"/>
          <w:lang w:eastAsia="ru-RU"/>
        </w:rPr>
        <w:t xml:space="preserve">по мнению Комитета по обороне, </w:t>
      </w:r>
      <w:r w:rsidRPr="00732784">
        <w:rPr>
          <w:rFonts w:ascii="Times New Roman" w:eastAsia="Times New Roman" w:hAnsi="Times New Roman" w:cs="Times New Roman"/>
          <w:color w:val="000000"/>
          <w:sz w:val="28"/>
          <w:szCs w:val="24"/>
          <w:lang w:eastAsia="ru-RU"/>
        </w:rPr>
        <w:t xml:space="preserve">повышение оплаты труда </w:t>
      </w:r>
      <w:r w:rsidRPr="00732784">
        <w:rPr>
          <w:rFonts w:ascii="Times New Roman" w:eastAsia="Times New Roman" w:hAnsi="Times New Roman" w:cs="Times New Roman"/>
          <w:sz w:val="28"/>
          <w:szCs w:val="28"/>
          <w:lang w:eastAsia="ru-RU"/>
        </w:rPr>
        <w:t xml:space="preserve">гражданского персонала </w:t>
      </w:r>
      <w:r w:rsidRPr="00732784">
        <w:rPr>
          <w:rFonts w:ascii="Times New Roman" w:eastAsia="Times New Roman" w:hAnsi="Times New Roman" w:cs="Times New Roman"/>
          <w:color w:val="000000"/>
          <w:sz w:val="28"/>
          <w:szCs w:val="24"/>
          <w:lang w:eastAsia="ru-RU"/>
        </w:rPr>
        <w:t xml:space="preserve">и денежного довольствия военнослужащих и </w:t>
      </w:r>
      <w:r w:rsidRPr="00732784">
        <w:rPr>
          <w:rFonts w:ascii="Times New Roman" w:eastAsia="Times New Roman" w:hAnsi="Times New Roman" w:cs="Times New Roman"/>
          <w:color w:val="000000"/>
          <w:sz w:val="28"/>
          <w:szCs w:val="24"/>
          <w:lang w:eastAsia="ru-RU"/>
        </w:rPr>
        <w:lastRenderedPageBreak/>
        <w:t>приравненных к ним лиц на прогнозный уровень инфляции</w:t>
      </w:r>
      <w:r w:rsidRPr="00732784">
        <w:rPr>
          <w:rFonts w:ascii="Times New Roman" w:eastAsia="Times New Roman" w:hAnsi="Times New Roman" w:cs="Times New Roman"/>
          <w:sz w:val="28"/>
          <w:szCs w:val="28"/>
          <w:lang w:eastAsia="ru-RU"/>
        </w:rPr>
        <w:t xml:space="preserve"> необходимо провести с начала финансового года (в соответствии со ст. 12 Бюджетного кодекса Российской Федерации) с 1 января 2020 года, вместо 1 октября 2020 года. В противном случае п</w:t>
      </w:r>
      <w:r w:rsidRPr="00732784">
        <w:rPr>
          <w:rFonts w:ascii="Times New Roman" w:eastAsia="Times New Roman" w:hAnsi="Times New Roman" w:cs="Times New Roman"/>
          <w:color w:val="000000"/>
          <w:sz w:val="28"/>
          <w:szCs w:val="24"/>
          <w:lang w:eastAsia="ru-RU"/>
        </w:rPr>
        <w:t xml:space="preserve">овышение с 1 октября 2020 года не компенсирует даже уровень расчетной инфляции, </w:t>
      </w:r>
      <w:r w:rsidRPr="00732784">
        <w:rPr>
          <w:rFonts w:ascii="Times New Roman" w:eastAsia="Times New Roman" w:hAnsi="Times New Roman" w:cs="Times New Roman"/>
          <w:color w:val="000000"/>
          <w:sz w:val="28"/>
          <w:szCs w:val="28"/>
          <w:lang w:eastAsia="ru-RU"/>
        </w:rPr>
        <w:t xml:space="preserve">так как </w:t>
      </w:r>
      <w:r w:rsidRPr="00732784">
        <w:rPr>
          <w:rFonts w:ascii="Times New Roman" w:eastAsia="Calibri" w:hAnsi="Times New Roman" w:cs="Times New Roman"/>
          <w:sz w:val="28"/>
          <w:szCs w:val="28"/>
          <w:lang w:eastAsia="ru-RU"/>
        </w:rPr>
        <w:t>фактическое повышение за весь 2020 год составит всего 0,75%.</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По данным Счетной палаты Российской Федерации в отдельных регионах (это порядка 53 муниципальных образований в 6 субъектах Российской Федерации) зарплата военно-учетных работников меньше минимального размера оплаты труда. При этом военно-учетные работники получают гораздо меньше тех работников, которые выполняют аналогичные функции в военных комиссариатах.</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В рамках реализации поручения Правительства Российской Федерации от         5 февраля 2019 года № СА-П4-807 Минобороны России разработан проект постановления Правительства Российской Федерации, которым предусмотрено:</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внесение изменений в Методику расчета норматива затрат на содержание военно-учетных работников органов местного самоуправления, в том числе в части нормирования расходов на оплату труда (в том числе размер среднемесячной заработной платы 1-го военно-учетного работника увеличен с 11 280,0 руб. до 15 347,0 руб. (увеличение на 36,1%);</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установление порядка применения районных коэффициентов и процентных надбавок к заработной плате военно-учетных работников, проживающих в местностях с особыми климатическими условиями. </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С учетом этих изменений методики объем субвенций возрастает в течение года фактически на 1 млрд. рублей. Это тот потребный дополнительный объем, который отсутствует в законопроекте. </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Комитет по обороне считает, что при уточнении федерального бюджета на 2020 год и на плановый период 2021 и 2022 годов необходимо ежегодное увеличение на 1 </w:t>
      </w:r>
      <w:proofErr w:type="spellStart"/>
      <w:proofErr w:type="gramStart"/>
      <w:r w:rsidRPr="00732784">
        <w:rPr>
          <w:rFonts w:ascii="Times New Roman" w:eastAsia="Times New Roman" w:hAnsi="Times New Roman" w:cs="Times New Roman"/>
          <w:sz w:val="28"/>
          <w:szCs w:val="28"/>
          <w:lang w:eastAsia="ru-RU"/>
        </w:rPr>
        <w:t>млрд.рублей</w:t>
      </w:r>
      <w:proofErr w:type="spellEnd"/>
      <w:proofErr w:type="gramEnd"/>
      <w:r w:rsidRPr="00732784">
        <w:rPr>
          <w:rFonts w:ascii="Times New Roman" w:eastAsia="Times New Roman" w:hAnsi="Times New Roman" w:cs="Times New Roman"/>
          <w:sz w:val="28"/>
          <w:szCs w:val="28"/>
          <w:lang w:eastAsia="ru-RU"/>
        </w:rPr>
        <w:t xml:space="preserve"> объемов денежных ассигнований Минобороны </w:t>
      </w:r>
      <w:r w:rsidRPr="00732784">
        <w:rPr>
          <w:rFonts w:ascii="Times New Roman" w:eastAsia="Times New Roman" w:hAnsi="Times New Roman" w:cs="Times New Roman"/>
          <w:sz w:val="28"/>
          <w:szCs w:val="28"/>
          <w:lang w:eastAsia="ru-RU"/>
        </w:rPr>
        <w:lastRenderedPageBreak/>
        <w:t>России на субвенции в соответствии с новой методикой на осуществление первичного воинского учета на территориях, где отсутствуют военные комиссариаты.</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При этом Комитет по обороне постоянно (начиная с июня 2018 года) отмечает </w:t>
      </w:r>
      <w:r w:rsidRPr="00732784">
        <w:rPr>
          <w:rFonts w:ascii="Times New Roman" w:eastAsia="Times New Roman" w:hAnsi="Times New Roman" w:cs="Times New Roman"/>
          <w:b/>
          <w:sz w:val="28"/>
          <w:szCs w:val="28"/>
          <w:u w:val="single"/>
          <w:lang w:eastAsia="ru-RU"/>
        </w:rPr>
        <w:t xml:space="preserve">проблемы функционирования </w:t>
      </w:r>
      <w:proofErr w:type="spellStart"/>
      <w:r w:rsidRPr="00732784">
        <w:rPr>
          <w:rFonts w:ascii="Times New Roman" w:eastAsia="Times New Roman" w:hAnsi="Times New Roman" w:cs="Times New Roman"/>
          <w:b/>
          <w:sz w:val="28"/>
          <w:szCs w:val="28"/>
          <w:u w:val="single"/>
          <w:lang w:eastAsia="ru-RU"/>
        </w:rPr>
        <w:t>накопительно</w:t>
      </w:r>
      <w:proofErr w:type="spellEnd"/>
      <w:r w:rsidRPr="00732784">
        <w:rPr>
          <w:rFonts w:ascii="Times New Roman" w:eastAsia="Times New Roman" w:hAnsi="Times New Roman" w:cs="Times New Roman"/>
          <w:b/>
          <w:sz w:val="28"/>
          <w:szCs w:val="28"/>
          <w:u w:val="single"/>
          <w:lang w:eastAsia="ru-RU"/>
        </w:rPr>
        <w:t>-ипотечной системы</w:t>
      </w:r>
      <w:r w:rsidRPr="00732784">
        <w:rPr>
          <w:rFonts w:ascii="Times New Roman" w:eastAsia="Times New Roman" w:hAnsi="Times New Roman" w:cs="Times New Roman"/>
          <w:sz w:val="28"/>
          <w:szCs w:val="28"/>
          <w:lang w:eastAsia="ru-RU"/>
        </w:rPr>
        <w:t>.</w:t>
      </w:r>
    </w:p>
    <w:p w:rsidR="00732784" w:rsidRPr="00732784" w:rsidRDefault="00732784" w:rsidP="00732784">
      <w:pPr>
        <w:autoSpaceDE w:val="0"/>
        <w:autoSpaceDN w:val="0"/>
        <w:spacing w:after="0" w:line="360" w:lineRule="auto"/>
        <w:ind w:firstLine="709"/>
        <w:jc w:val="both"/>
        <w:outlineLvl w:val="3"/>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По состоянию на 1 января 2018 года дефицит финансирования системы составлял более 50 миллиардов рублей. По состоянию на 1 января 2019 года дефицит финансирования составил уже 91,7 миллиардов рублей. К настоящему времени ситуация только ухудшается. Выделенные в соответствии с Федеральным законом № 459-ФЗ денежные ассигнования на </w:t>
      </w:r>
      <w:proofErr w:type="spellStart"/>
      <w:r w:rsidRPr="00732784">
        <w:rPr>
          <w:rFonts w:ascii="Times New Roman" w:eastAsia="Times New Roman" w:hAnsi="Times New Roman" w:cs="Times New Roman"/>
          <w:sz w:val="28"/>
          <w:szCs w:val="28"/>
          <w:lang w:eastAsia="ru-RU"/>
        </w:rPr>
        <w:t>накопительно</w:t>
      </w:r>
      <w:proofErr w:type="spellEnd"/>
      <w:r w:rsidRPr="00732784">
        <w:rPr>
          <w:rFonts w:ascii="Times New Roman" w:eastAsia="Times New Roman" w:hAnsi="Times New Roman" w:cs="Times New Roman"/>
          <w:sz w:val="28"/>
          <w:szCs w:val="28"/>
          <w:lang w:eastAsia="ru-RU"/>
        </w:rPr>
        <w:t>-ипотечную систему на 2019 год не покрывают дефицита, а лишь обеспечивают ее функционирование. Та же ситуация и в 2020 году.</w:t>
      </w:r>
    </w:p>
    <w:p w:rsidR="00732784" w:rsidRPr="00732784" w:rsidRDefault="00732784" w:rsidP="00732784">
      <w:pPr>
        <w:autoSpaceDE w:val="0"/>
        <w:autoSpaceDN w:val="0"/>
        <w:spacing w:after="0" w:line="360" w:lineRule="auto"/>
        <w:ind w:firstLine="709"/>
        <w:jc w:val="both"/>
        <w:outlineLvl w:val="3"/>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Комитет по обороне в 2018 году и в течение всего 2019 года рекомендовал рассмотреть вопрос покрытия указанного дефицита.</w:t>
      </w:r>
    </w:p>
    <w:p w:rsidR="00732784" w:rsidRPr="00732784" w:rsidRDefault="00732784" w:rsidP="00732784">
      <w:pPr>
        <w:autoSpaceDE w:val="0"/>
        <w:autoSpaceDN w:val="0"/>
        <w:spacing w:after="0" w:line="360" w:lineRule="auto"/>
        <w:ind w:firstLine="709"/>
        <w:jc w:val="both"/>
        <w:outlineLvl w:val="3"/>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Рекомендации Комитета по обороне по данному вопросу проигнорированы.</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С учетом изложенного Комитет по обороне настаивает, что при уточнении федерального бюджета 2020 года, необходимо рассмотреть вопрос покрытия указанного дефицита. </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С 1 января 2014 года Минобороны России реализует решение вопроса жилищного обеспечения военнослужащих путем </w:t>
      </w:r>
      <w:r w:rsidRPr="00732784">
        <w:rPr>
          <w:rFonts w:ascii="Times New Roman" w:eastAsia="Times New Roman" w:hAnsi="Times New Roman" w:cs="Times New Roman"/>
          <w:b/>
          <w:sz w:val="28"/>
          <w:szCs w:val="28"/>
          <w:u w:val="single"/>
          <w:lang w:eastAsia="ru-RU"/>
        </w:rPr>
        <w:t>предоставления жилищных субсидий</w:t>
      </w:r>
      <w:r w:rsidRPr="00732784">
        <w:rPr>
          <w:rFonts w:ascii="Times New Roman" w:eastAsia="Times New Roman" w:hAnsi="Times New Roman" w:cs="Times New Roman"/>
          <w:sz w:val="28"/>
          <w:szCs w:val="28"/>
          <w:lang w:eastAsia="ru-RU"/>
        </w:rPr>
        <w:t xml:space="preserve"> (далее – ЖС) для приобретения или строительства жилого помещения (жилых помещений).</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По расчетным оценкам Минобороны России к 1 января 2019 года на учете нуждающихся в постоянном жилье с формой обеспечения ЖС будут состоять свыше 23 тысяч военнослужащих.</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На предоставление военнослужащим ЖС предусмотрены бюджетные ассигнования в объеме 113,34 млрд. рублей (37,78 </w:t>
      </w:r>
      <w:proofErr w:type="spellStart"/>
      <w:r w:rsidRPr="00732784">
        <w:rPr>
          <w:rFonts w:ascii="Times New Roman" w:eastAsia="Times New Roman" w:hAnsi="Times New Roman" w:cs="Times New Roman"/>
          <w:sz w:val="28"/>
          <w:szCs w:val="28"/>
          <w:lang w:eastAsia="ru-RU"/>
        </w:rPr>
        <w:t>млрд.руб</w:t>
      </w:r>
      <w:proofErr w:type="spellEnd"/>
      <w:r w:rsidRPr="00732784">
        <w:rPr>
          <w:rFonts w:ascii="Times New Roman" w:eastAsia="Times New Roman" w:hAnsi="Times New Roman" w:cs="Times New Roman"/>
          <w:sz w:val="28"/>
          <w:szCs w:val="28"/>
          <w:lang w:eastAsia="ru-RU"/>
        </w:rPr>
        <w:t>. ежегодно), за счет которых возможно ее предоставление 15,6 тыс. военнослужащих.</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lastRenderedPageBreak/>
        <w:t>При этом Комитет по обороне отмечает, что ежегодный объем выделенных бюджетных ассигнований на протяжении пяти лет не индексируется в зависимости от норматива стоимости одного квадратного метра общей площади жилого помещения по Российской Федерации. В связи с этим количество военнослужащих, которым возможно предоставить ЖС в пределах выделяемых сумм, ежегодно снижается. Только за период 2018-2021 годов снижение количества обеспечиваемых военнослужащих будет в пределах 600-700 человек. При этом количество военнослужащих, изъявивших желание получить ЖС, увеличится и по прогнозным данным Департамента жилищного обеспечения Минобороны России к 1 января 2022 года достигнет свыше 37 тысяч военнослужащих.</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 целях недопущения роста очереди на жилье и перехода на плановое обеспечение военнослужащих жильем, а так же сокращения срока ожидания реализации военнослужащих своих жилищных прав до 2-х лет Комитет по обороне предлагал дополнительное выделение бюджетных ассигнований в период 2019-2021 года в размере 144,98 </w:t>
      </w:r>
      <w:proofErr w:type="spellStart"/>
      <w:proofErr w:type="gramStart"/>
      <w:r w:rsidRPr="00732784">
        <w:rPr>
          <w:rFonts w:ascii="Times New Roman" w:eastAsia="Times New Roman" w:hAnsi="Times New Roman" w:cs="Times New Roman"/>
          <w:sz w:val="28"/>
          <w:szCs w:val="28"/>
          <w:lang w:eastAsia="ru-RU"/>
        </w:rPr>
        <w:t>млрд.рублей</w:t>
      </w:r>
      <w:proofErr w:type="spellEnd"/>
      <w:proofErr w:type="gramEnd"/>
      <w:r w:rsidRPr="00732784">
        <w:rPr>
          <w:rFonts w:ascii="Times New Roman" w:eastAsia="Times New Roman" w:hAnsi="Times New Roman" w:cs="Times New Roman"/>
          <w:sz w:val="28"/>
          <w:szCs w:val="28"/>
          <w:lang w:eastAsia="ru-RU"/>
        </w:rPr>
        <w:t xml:space="preserve"> (2019 - 44,78 </w:t>
      </w:r>
      <w:proofErr w:type="spellStart"/>
      <w:r w:rsidRPr="00732784">
        <w:rPr>
          <w:rFonts w:ascii="Times New Roman" w:eastAsia="Times New Roman" w:hAnsi="Times New Roman" w:cs="Times New Roman"/>
          <w:sz w:val="28"/>
          <w:szCs w:val="28"/>
          <w:lang w:eastAsia="ru-RU"/>
        </w:rPr>
        <w:t>млрд.руб</w:t>
      </w:r>
      <w:proofErr w:type="spellEnd"/>
      <w:r w:rsidRPr="00732784">
        <w:rPr>
          <w:rFonts w:ascii="Times New Roman" w:eastAsia="Times New Roman" w:hAnsi="Times New Roman" w:cs="Times New Roman"/>
          <w:sz w:val="28"/>
          <w:szCs w:val="28"/>
          <w:lang w:eastAsia="ru-RU"/>
        </w:rPr>
        <w:t xml:space="preserve">., 2020 – 46,77 </w:t>
      </w:r>
      <w:proofErr w:type="spellStart"/>
      <w:r w:rsidRPr="00732784">
        <w:rPr>
          <w:rFonts w:ascii="Times New Roman" w:eastAsia="Times New Roman" w:hAnsi="Times New Roman" w:cs="Times New Roman"/>
          <w:sz w:val="28"/>
          <w:szCs w:val="28"/>
          <w:lang w:eastAsia="ru-RU"/>
        </w:rPr>
        <w:t>млрд.руб</w:t>
      </w:r>
      <w:proofErr w:type="spellEnd"/>
      <w:r w:rsidRPr="00732784">
        <w:rPr>
          <w:rFonts w:ascii="Times New Roman" w:eastAsia="Times New Roman" w:hAnsi="Times New Roman" w:cs="Times New Roman"/>
          <w:sz w:val="28"/>
          <w:szCs w:val="28"/>
          <w:lang w:eastAsia="ru-RU"/>
        </w:rPr>
        <w:t xml:space="preserve">., 2021 - 53, 43 </w:t>
      </w:r>
      <w:proofErr w:type="spellStart"/>
      <w:r w:rsidRPr="00732784">
        <w:rPr>
          <w:rFonts w:ascii="Times New Roman" w:eastAsia="Times New Roman" w:hAnsi="Times New Roman" w:cs="Times New Roman"/>
          <w:sz w:val="28"/>
          <w:szCs w:val="28"/>
          <w:lang w:eastAsia="ru-RU"/>
        </w:rPr>
        <w:t>млрд.руб</w:t>
      </w:r>
      <w:proofErr w:type="spellEnd"/>
      <w:r w:rsidRPr="00732784">
        <w:rPr>
          <w:rFonts w:ascii="Times New Roman" w:eastAsia="Times New Roman" w:hAnsi="Times New Roman" w:cs="Times New Roman"/>
          <w:sz w:val="28"/>
          <w:szCs w:val="28"/>
          <w:lang w:eastAsia="ru-RU"/>
        </w:rPr>
        <w:t>.).</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Предложения Комитета по обороне были проигнорированы.</w:t>
      </w:r>
    </w:p>
    <w:p w:rsidR="00732784" w:rsidRPr="00732784" w:rsidRDefault="00732784" w:rsidP="00732784">
      <w:pPr>
        <w:tabs>
          <w:tab w:val="left" w:pos="993"/>
        </w:tabs>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Аналогичная ситуация складывается в </w:t>
      </w:r>
      <w:proofErr w:type="spellStart"/>
      <w:r w:rsidRPr="00732784">
        <w:rPr>
          <w:rFonts w:ascii="Times New Roman" w:eastAsia="Times New Roman" w:hAnsi="Times New Roman" w:cs="Times New Roman"/>
          <w:sz w:val="28"/>
          <w:szCs w:val="28"/>
          <w:lang w:eastAsia="ru-RU"/>
        </w:rPr>
        <w:t>Росгвардии</w:t>
      </w:r>
      <w:proofErr w:type="spellEnd"/>
      <w:r w:rsidRPr="00732784">
        <w:rPr>
          <w:rFonts w:ascii="Times New Roman" w:eastAsia="Times New Roman" w:hAnsi="Times New Roman" w:cs="Times New Roman"/>
          <w:sz w:val="28"/>
          <w:szCs w:val="28"/>
          <w:lang w:eastAsia="ru-RU"/>
        </w:rPr>
        <w:t xml:space="preserve">. По состоянию на                    1 июня 2019 года на учете нуждающихся в жилых помещениях для постоянного проживания состоит 3 240 военнослужащих, из которых 1 648 необходимо предоставить жилищную субсидию на сумму 10,0 млрд. рублей. </w:t>
      </w:r>
    </w:p>
    <w:p w:rsidR="00732784" w:rsidRPr="00732784" w:rsidRDefault="00732784" w:rsidP="00732784">
      <w:pPr>
        <w:tabs>
          <w:tab w:val="left" w:pos="993"/>
        </w:tabs>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В результате проведенного анализа установлено, что ежегодно признаются нуждающимися в предоставлении жилищной субсидии порядка 250 чел. Таким образом, ежегодно увеличивается потребность в бюджетных ассигнованиях на 1,5 млрд. рублей.</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Недофинансирование </w:t>
      </w:r>
      <w:proofErr w:type="spellStart"/>
      <w:r w:rsidRPr="00732784">
        <w:rPr>
          <w:rFonts w:ascii="Times New Roman" w:eastAsia="Times New Roman" w:hAnsi="Times New Roman" w:cs="Times New Roman"/>
          <w:sz w:val="28"/>
          <w:szCs w:val="28"/>
          <w:lang w:eastAsia="ru-RU"/>
        </w:rPr>
        <w:t>Росгвардии</w:t>
      </w:r>
      <w:proofErr w:type="spellEnd"/>
      <w:r w:rsidRPr="00732784">
        <w:rPr>
          <w:rFonts w:ascii="Times New Roman" w:eastAsia="Times New Roman" w:hAnsi="Times New Roman" w:cs="Times New Roman"/>
          <w:sz w:val="28"/>
          <w:szCs w:val="28"/>
          <w:lang w:eastAsia="ru-RU"/>
        </w:rPr>
        <w:t xml:space="preserve"> в период 2019-2021 годы на выплату жилищной субсидии в период с 2019 по 2021 год составляет: 4,8 млрд. рублей (по 1,6 млрд. руб. ежегодно).</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lastRenderedPageBreak/>
        <w:t xml:space="preserve">Комитет Государственной Думы по обороне отмечает, что недофинансирование данных статей расходов ведет к ежегодному нарастающему увеличению роста очереди на обеспечение жильем и увеличению срока реализации военнослужащими своих жилищных прав и как следствие росту социальной напряженности, а </w:t>
      </w:r>
      <w:proofErr w:type="gramStart"/>
      <w:r w:rsidRPr="00732784">
        <w:rPr>
          <w:rFonts w:ascii="Times New Roman" w:eastAsia="Times New Roman" w:hAnsi="Times New Roman" w:cs="Times New Roman"/>
          <w:sz w:val="28"/>
          <w:szCs w:val="28"/>
          <w:lang w:eastAsia="ru-RU"/>
        </w:rPr>
        <w:t>так же</w:t>
      </w:r>
      <w:proofErr w:type="gramEnd"/>
      <w:r w:rsidRPr="00732784">
        <w:rPr>
          <w:rFonts w:ascii="Times New Roman" w:eastAsia="Times New Roman" w:hAnsi="Times New Roman" w:cs="Times New Roman"/>
          <w:sz w:val="28"/>
          <w:szCs w:val="28"/>
          <w:lang w:eastAsia="ru-RU"/>
        </w:rPr>
        <w:t xml:space="preserve"> росту расходов на содержание военнослужащих (находящихся в распоряжении) которые подлежат увольнению, но не могут быть уволены без предоставления жилья (жилищной субсидии).</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 связи с вышеизложенным, Комитет Государственной Думы по обороне считает, необходимым в целях недопущения рост очереди на жилье и перехода на плановое обеспечение военнослужащих жильем, а </w:t>
      </w:r>
      <w:proofErr w:type="gramStart"/>
      <w:r w:rsidRPr="00732784">
        <w:rPr>
          <w:rFonts w:ascii="Times New Roman" w:eastAsia="Times New Roman" w:hAnsi="Times New Roman" w:cs="Times New Roman"/>
          <w:sz w:val="28"/>
          <w:szCs w:val="28"/>
          <w:lang w:eastAsia="ru-RU"/>
        </w:rPr>
        <w:t>так же</w:t>
      </w:r>
      <w:proofErr w:type="gramEnd"/>
      <w:r w:rsidRPr="00732784">
        <w:rPr>
          <w:rFonts w:ascii="Times New Roman" w:eastAsia="Times New Roman" w:hAnsi="Times New Roman" w:cs="Times New Roman"/>
          <w:sz w:val="28"/>
          <w:szCs w:val="28"/>
          <w:lang w:eastAsia="ru-RU"/>
        </w:rPr>
        <w:t xml:space="preserve"> сокращения срока ожидания реализации военнослужащими своих жилищных прав до 2-х лет, рассмотреть вопрос обеспечения финансирования соответствующих статей расходов на требуемом уровне.</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Наряду с вышеизложенными проблемными вопросами Комитет по обороне отмечает, что значительный рост фактически отпускных цен на горюче-смазочные материалы осенью 2018 года (рост цен на отдельные виды топлива составил от 10% до 32%) привел к тому, что предусмотренные в соответствии с Федеральным законом № 459-ФЗ </w:t>
      </w:r>
      <w:r w:rsidRPr="00732784">
        <w:rPr>
          <w:rFonts w:ascii="Times New Roman" w:eastAsia="Times New Roman" w:hAnsi="Times New Roman" w:cs="Times New Roman"/>
          <w:b/>
          <w:sz w:val="28"/>
          <w:szCs w:val="28"/>
          <w:u w:val="single"/>
          <w:lang w:eastAsia="ru-RU"/>
        </w:rPr>
        <w:t>денежные ассигнования на закупку горюче-смазочных материалов</w:t>
      </w:r>
      <w:r w:rsidRPr="00732784">
        <w:rPr>
          <w:rFonts w:ascii="Times New Roman" w:eastAsia="Times New Roman" w:hAnsi="Times New Roman" w:cs="Times New Roman"/>
          <w:sz w:val="28"/>
          <w:szCs w:val="28"/>
          <w:lang w:eastAsia="ru-RU"/>
        </w:rPr>
        <w:t xml:space="preserve"> (далее ГСМ) не обеспечивают в полном объеме потребность Минобороны России. Кредиторская задолженность Минобороны на закупку горюче-смазочных материалов в 2019 году составляет 6,9 </w:t>
      </w:r>
      <w:proofErr w:type="spellStart"/>
      <w:proofErr w:type="gramStart"/>
      <w:r w:rsidRPr="00732784">
        <w:rPr>
          <w:rFonts w:ascii="Times New Roman" w:eastAsia="Times New Roman" w:hAnsi="Times New Roman" w:cs="Times New Roman"/>
          <w:sz w:val="28"/>
          <w:szCs w:val="28"/>
          <w:lang w:eastAsia="ru-RU"/>
        </w:rPr>
        <w:t>млрд.рублей</w:t>
      </w:r>
      <w:proofErr w:type="spellEnd"/>
      <w:proofErr w:type="gramEnd"/>
      <w:r w:rsidRPr="00732784">
        <w:rPr>
          <w:rFonts w:ascii="Times New Roman" w:eastAsia="Times New Roman" w:hAnsi="Times New Roman" w:cs="Times New Roman"/>
          <w:sz w:val="28"/>
          <w:szCs w:val="28"/>
          <w:lang w:eastAsia="ru-RU"/>
        </w:rPr>
        <w:t>. При этом Правительству Российской Федерации не удалось обеспечить стабилизацию цен на горюче-смазочные материалы в 2019 году (рост цен продолжается), что усугубляет положение дел.</w:t>
      </w:r>
    </w:p>
    <w:p w:rsidR="00732784" w:rsidRPr="00732784" w:rsidRDefault="00732784" w:rsidP="00732784">
      <w:pPr>
        <w:spacing w:after="0" w:line="360"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Комитет по обороне отмечает, что значительный рост оптовых цен на нефтепродукты неизбежно влечет за собой увеличение данных расходов не только у Минобороны России, но и у всех силовых министерств. Это не может не сказаться на качестве боевой подготовки.</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lastRenderedPageBreak/>
        <w:t xml:space="preserve">Предусмотренный законопроектом объем бюджетных ассигнований федерального бюджета на 2020 год и на плановый период 2021 и 2022 годы на закупку ГСМ в Минобороны России позволяет закупить 1,57 миллиона тонн вместо 2,1 миллион тонн (нормативная потребность ГСМ для обеспечения Минобороны России). Дополнительная потребность составляет минимум 20,4 млрд. рублей (с учетом более дешевой закупки 737,9 тыс. </w:t>
      </w:r>
      <w:proofErr w:type="gramStart"/>
      <w:r w:rsidRPr="00732784">
        <w:rPr>
          <w:rFonts w:ascii="Times New Roman" w:eastAsia="Times New Roman" w:hAnsi="Times New Roman" w:cs="Times New Roman"/>
          <w:sz w:val="28"/>
          <w:szCs w:val="28"/>
          <w:lang w:eastAsia="ru-RU"/>
        </w:rPr>
        <w:t>тонн  ГСМ</w:t>
      </w:r>
      <w:proofErr w:type="gramEnd"/>
      <w:r w:rsidRPr="00732784">
        <w:rPr>
          <w:rFonts w:ascii="Times New Roman" w:eastAsia="Times New Roman" w:hAnsi="Times New Roman" w:cs="Times New Roman"/>
          <w:sz w:val="28"/>
          <w:szCs w:val="28"/>
          <w:lang w:eastAsia="ru-RU"/>
        </w:rPr>
        <w:t xml:space="preserve"> в </w:t>
      </w:r>
      <w:proofErr w:type="spellStart"/>
      <w:r w:rsidRPr="00732784">
        <w:rPr>
          <w:rFonts w:ascii="Times New Roman" w:eastAsia="Times New Roman" w:hAnsi="Times New Roman" w:cs="Times New Roman"/>
          <w:sz w:val="28"/>
          <w:szCs w:val="28"/>
          <w:lang w:eastAsia="ru-RU"/>
        </w:rPr>
        <w:t>Росрезерве</w:t>
      </w:r>
      <w:proofErr w:type="spellEnd"/>
      <w:r w:rsidRPr="00732784">
        <w:rPr>
          <w:rFonts w:ascii="Times New Roman" w:eastAsia="Times New Roman" w:hAnsi="Times New Roman" w:cs="Times New Roman"/>
          <w:sz w:val="28"/>
          <w:szCs w:val="28"/>
          <w:lang w:eastAsia="ru-RU"/>
        </w:rPr>
        <w:t xml:space="preserve"> с транспортировкой).</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 связи с изложенным, Комитет по обороне считает, что при уточнении федерального бюджета на 2020 год и на плановый период 2021 и 2022 годов необходимо рассмотреть вопрос выделения дополнительных денежных ассигнований на закупку ГСМ, как минимум обеспечивающих </w:t>
      </w:r>
      <w:r w:rsidRPr="00732784">
        <w:rPr>
          <w:rFonts w:ascii="Times New Roman" w:eastAsia="Times New Roman" w:hAnsi="Times New Roman" w:cs="Times New Roman"/>
          <w:b/>
          <w:sz w:val="28"/>
          <w:szCs w:val="28"/>
          <w:lang w:eastAsia="ru-RU"/>
        </w:rPr>
        <w:t>нормативную</w:t>
      </w:r>
      <w:r w:rsidRPr="00732784">
        <w:rPr>
          <w:rFonts w:ascii="Times New Roman" w:eastAsia="Times New Roman" w:hAnsi="Times New Roman" w:cs="Times New Roman"/>
          <w:sz w:val="28"/>
          <w:szCs w:val="28"/>
          <w:lang w:eastAsia="ru-RU"/>
        </w:rPr>
        <w:t xml:space="preserve"> потребность в ГСМ. </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Бюджетные ассигнования по подразделу 10 01 "Пенсионное обеспечение" раздела 10 "Социальная политика" в части </w:t>
      </w:r>
      <w:r w:rsidRPr="00732784">
        <w:rPr>
          <w:rFonts w:ascii="Times New Roman" w:eastAsia="Times New Roman" w:hAnsi="Times New Roman" w:cs="Times New Roman"/>
          <w:b/>
          <w:sz w:val="28"/>
          <w:szCs w:val="28"/>
          <w:u w:val="single"/>
          <w:lang w:eastAsia="ru-RU"/>
        </w:rPr>
        <w:t>пенсионного обеспечения военнослужащих, членов их семей и лиц, приравненных к ним по пенсионному обеспечению</w:t>
      </w:r>
      <w:r w:rsidRPr="00732784">
        <w:rPr>
          <w:rFonts w:ascii="Times New Roman" w:eastAsia="Times New Roman" w:hAnsi="Times New Roman" w:cs="Times New Roman"/>
          <w:sz w:val="28"/>
          <w:szCs w:val="28"/>
          <w:lang w:eastAsia="ru-RU"/>
        </w:rPr>
        <w:t>, а также пособий и иные выплат в рамках пенсионного обеспечения, законопроектом предусматриваются в 2020 году в размере 760,75 млрд. рублей из оценки численности "военных пенсионеров" – 2 701 тысяч человек, в 2021 году в размере 790,94 млрд. рублей из оценки численности "военных пенсионеров" – 2 739 тысяч человек, в 2022 году в размере 553,71 млрд. рублей из оценки численности "военных пенсионеров" – 2 777 тысяч человек.</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При этом в пояснительной записке к законопроекту отмечено, что на изменение расходов по разделу "Социальная политика" (в 2020-2021 года) повлияло увеличение бюджетных ассигнований на пенсионное обеспечение граждан, уволенных с военной и приравненной к ней службе, в 2020 году на 113 481,3 </w:t>
      </w:r>
      <w:proofErr w:type="spellStart"/>
      <w:proofErr w:type="gramStart"/>
      <w:r w:rsidRPr="00732784">
        <w:rPr>
          <w:rFonts w:ascii="Times New Roman" w:eastAsia="Times New Roman" w:hAnsi="Times New Roman" w:cs="Times New Roman"/>
          <w:sz w:val="28"/>
          <w:szCs w:val="28"/>
          <w:lang w:eastAsia="ru-RU"/>
        </w:rPr>
        <w:t>млн.рублей</w:t>
      </w:r>
      <w:proofErr w:type="spellEnd"/>
      <w:proofErr w:type="gramEnd"/>
      <w:r w:rsidRPr="00732784">
        <w:rPr>
          <w:rFonts w:ascii="Times New Roman" w:eastAsia="Times New Roman" w:hAnsi="Times New Roman" w:cs="Times New Roman"/>
          <w:sz w:val="28"/>
          <w:szCs w:val="28"/>
          <w:lang w:eastAsia="ru-RU"/>
        </w:rPr>
        <w:t xml:space="preserve"> и в 2021 году на 234 246,8 </w:t>
      </w:r>
      <w:proofErr w:type="spellStart"/>
      <w:r w:rsidRPr="00732784">
        <w:rPr>
          <w:rFonts w:ascii="Times New Roman" w:eastAsia="Times New Roman" w:hAnsi="Times New Roman" w:cs="Times New Roman"/>
          <w:sz w:val="28"/>
          <w:szCs w:val="28"/>
          <w:lang w:eastAsia="ru-RU"/>
        </w:rPr>
        <w:t>млн.рублей</w:t>
      </w:r>
      <w:proofErr w:type="spellEnd"/>
      <w:r w:rsidRPr="00732784">
        <w:rPr>
          <w:rFonts w:ascii="Times New Roman" w:eastAsia="Times New Roman" w:hAnsi="Times New Roman" w:cs="Times New Roman"/>
          <w:sz w:val="28"/>
          <w:szCs w:val="28"/>
          <w:lang w:eastAsia="ru-RU"/>
        </w:rPr>
        <w:t>.</w:t>
      </w:r>
    </w:p>
    <w:p w:rsidR="00732784" w:rsidRPr="00732784" w:rsidRDefault="00732784" w:rsidP="00732784">
      <w:pPr>
        <w:spacing w:after="0" w:line="367" w:lineRule="auto"/>
        <w:ind w:firstLine="709"/>
        <w:jc w:val="both"/>
        <w:rPr>
          <w:rFonts w:ascii="Times New Roman" w:eastAsia="Times New Roman" w:hAnsi="Times New Roman" w:cs="Times New Roman"/>
          <w:color w:val="000000"/>
          <w:sz w:val="28"/>
          <w:szCs w:val="24"/>
          <w:lang w:eastAsia="ru-RU"/>
        </w:rPr>
      </w:pPr>
      <w:r w:rsidRPr="00732784">
        <w:rPr>
          <w:rFonts w:ascii="Times New Roman" w:eastAsia="Times New Roman" w:hAnsi="Times New Roman" w:cs="Times New Roman"/>
          <w:sz w:val="28"/>
          <w:szCs w:val="28"/>
          <w:lang w:eastAsia="ru-RU"/>
        </w:rPr>
        <w:t xml:space="preserve">Вместе с тем Комитет по обороне отмечает, что в соответствии с Федеральным законом № 459-ФЗ объемы денежных ассигнований на пенсионное обеспечение граждан, уволенных с военной и приравненной к ней </w:t>
      </w:r>
      <w:r w:rsidRPr="00732784">
        <w:rPr>
          <w:rFonts w:ascii="Times New Roman" w:eastAsia="Times New Roman" w:hAnsi="Times New Roman" w:cs="Times New Roman"/>
          <w:sz w:val="28"/>
          <w:szCs w:val="28"/>
          <w:lang w:eastAsia="ru-RU"/>
        </w:rPr>
        <w:lastRenderedPageBreak/>
        <w:t xml:space="preserve">службе в 2020 и 2021 году не были обеспечены в полном объеме с учетом численности получателей "военной пенсии" и ежегодного </w:t>
      </w:r>
      <w:r w:rsidRPr="00732784">
        <w:rPr>
          <w:rFonts w:ascii="Times New Roman" w:eastAsia="Times New Roman" w:hAnsi="Times New Roman" w:cs="Times New Roman"/>
          <w:color w:val="000000"/>
          <w:sz w:val="28"/>
          <w:szCs w:val="24"/>
          <w:lang w:eastAsia="ru-RU"/>
        </w:rPr>
        <w:t xml:space="preserve">увеличения денежного довольствия военнослужащих с 1 октября в 2019 году на 4,3% и составляли в 2020 году в размере 646 912,19 млн. рублей из оценки численности "военных пенсионеров" – 2 671 тысяч человек, в 2021 году в размере 556 691,43 млн. рублей из оценки численности "военных пенсионеров" – 2 705 тысяч человек, что ниже объемов 2016 года. Еще при рассмотрении в первом чтении проекта федерального закона </w:t>
      </w:r>
      <w:r w:rsidRPr="00732784">
        <w:rPr>
          <w:rFonts w:ascii="Times New Roman" w:eastAsia="Times New Roman" w:hAnsi="Times New Roman" w:cs="Times New Roman"/>
          <w:color w:val="000000"/>
          <w:sz w:val="28"/>
          <w:szCs w:val="28"/>
          <w:lang w:eastAsia="ru-RU"/>
        </w:rPr>
        <w:t xml:space="preserve">"О федеральном бюджете на 2019 год и на плановый период 2020 и 2021 годов" Комитет по обороне рекомендовал довести объемы ассигнований </w:t>
      </w:r>
      <w:r w:rsidRPr="00732784">
        <w:rPr>
          <w:rFonts w:ascii="Times New Roman" w:eastAsia="Times New Roman" w:hAnsi="Times New Roman" w:cs="Times New Roman"/>
          <w:sz w:val="28"/>
          <w:szCs w:val="28"/>
          <w:lang w:eastAsia="ru-RU"/>
        </w:rPr>
        <w:t xml:space="preserve">на исполнение публичных нормативных обязательств в части пенсионного обеспечения военнослужащих, членов их семей и лиц, приравненных к ним, с учетом численности получателей "военной пенсии" в соответствующие года и </w:t>
      </w:r>
      <w:r w:rsidRPr="00732784">
        <w:rPr>
          <w:rFonts w:ascii="Times New Roman" w:eastAsia="Times New Roman" w:hAnsi="Times New Roman" w:cs="Times New Roman"/>
          <w:color w:val="000000"/>
          <w:sz w:val="28"/>
          <w:szCs w:val="24"/>
          <w:lang w:eastAsia="ru-RU"/>
        </w:rPr>
        <w:t>увеличения денежного довольствия военнослужащих с 1 октября в 2019 году на 4,3%. Рекомендации Комитета по обороне были проигнорированы.</w:t>
      </w:r>
    </w:p>
    <w:p w:rsidR="00732784" w:rsidRPr="00732784" w:rsidRDefault="00732784" w:rsidP="00732784">
      <w:pPr>
        <w:spacing w:after="0" w:line="367" w:lineRule="auto"/>
        <w:ind w:firstLine="709"/>
        <w:jc w:val="both"/>
        <w:rPr>
          <w:rFonts w:ascii="Times New Roman" w:eastAsia="Times New Roman" w:hAnsi="Times New Roman" w:cs="Times New Roman"/>
          <w:color w:val="000000"/>
          <w:sz w:val="28"/>
          <w:szCs w:val="24"/>
          <w:lang w:eastAsia="ru-RU"/>
        </w:rPr>
      </w:pPr>
      <w:r w:rsidRPr="00732784">
        <w:rPr>
          <w:rFonts w:ascii="Times New Roman" w:eastAsia="Times New Roman" w:hAnsi="Times New Roman" w:cs="Times New Roman"/>
          <w:color w:val="000000"/>
          <w:sz w:val="28"/>
          <w:szCs w:val="24"/>
          <w:lang w:eastAsia="ru-RU"/>
        </w:rPr>
        <w:t xml:space="preserve">В Законопроекте </w:t>
      </w:r>
      <w:r w:rsidRPr="00732784">
        <w:rPr>
          <w:rFonts w:ascii="Times New Roman" w:eastAsia="Times New Roman" w:hAnsi="Times New Roman" w:cs="Times New Roman"/>
          <w:sz w:val="28"/>
          <w:szCs w:val="28"/>
          <w:lang w:eastAsia="ru-RU"/>
        </w:rPr>
        <w:t xml:space="preserve">объемы денежных ассигнований на пенсионное обеспечение граждан, уволенных с военной и приравненной к ней службе на 2022 году не обеспечены в полном объеме с учетом численности получателей "военной пенсии" и ежегодного </w:t>
      </w:r>
      <w:r w:rsidRPr="00732784">
        <w:rPr>
          <w:rFonts w:ascii="Times New Roman" w:eastAsia="Times New Roman" w:hAnsi="Times New Roman" w:cs="Times New Roman"/>
          <w:color w:val="000000"/>
          <w:sz w:val="28"/>
          <w:szCs w:val="24"/>
          <w:lang w:eastAsia="ru-RU"/>
        </w:rPr>
        <w:t>увеличения денежного довольствия военнослужащих и составляют 553,71 </w:t>
      </w:r>
      <w:proofErr w:type="spellStart"/>
      <w:proofErr w:type="gramStart"/>
      <w:r w:rsidRPr="00732784">
        <w:rPr>
          <w:rFonts w:ascii="Times New Roman" w:eastAsia="Times New Roman" w:hAnsi="Times New Roman" w:cs="Times New Roman"/>
          <w:color w:val="000000"/>
          <w:sz w:val="28"/>
          <w:szCs w:val="24"/>
          <w:lang w:eastAsia="ru-RU"/>
        </w:rPr>
        <w:t>млрд.рублей</w:t>
      </w:r>
      <w:proofErr w:type="spellEnd"/>
      <w:proofErr w:type="gramEnd"/>
      <w:r w:rsidRPr="00732784">
        <w:rPr>
          <w:rFonts w:ascii="Times New Roman" w:eastAsia="Times New Roman" w:hAnsi="Times New Roman" w:cs="Times New Roman"/>
          <w:color w:val="000000"/>
          <w:sz w:val="28"/>
          <w:szCs w:val="24"/>
          <w:lang w:eastAsia="ru-RU"/>
        </w:rPr>
        <w:t xml:space="preserve">, что ниже даже объемов 2015 года (604,76 </w:t>
      </w:r>
      <w:proofErr w:type="spellStart"/>
      <w:r w:rsidRPr="00732784">
        <w:rPr>
          <w:rFonts w:ascii="Times New Roman" w:eastAsia="Times New Roman" w:hAnsi="Times New Roman" w:cs="Times New Roman"/>
          <w:color w:val="000000"/>
          <w:sz w:val="28"/>
          <w:szCs w:val="24"/>
          <w:lang w:eastAsia="ru-RU"/>
        </w:rPr>
        <w:t>млрд.руб</w:t>
      </w:r>
      <w:proofErr w:type="spellEnd"/>
      <w:r w:rsidRPr="00732784">
        <w:rPr>
          <w:rFonts w:ascii="Times New Roman" w:eastAsia="Times New Roman" w:hAnsi="Times New Roman" w:cs="Times New Roman"/>
          <w:color w:val="000000"/>
          <w:sz w:val="28"/>
          <w:szCs w:val="24"/>
          <w:lang w:eastAsia="ru-RU"/>
        </w:rPr>
        <w:t xml:space="preserve"> при численности 2 488 </w:t>
      </w:r>
      <w:proofErr w:type="spellStart"/>
      <w:r w:rsidRPr="00732784">
        <w:rPr>
          <w:rFonts w:ascii="Times New Roman" w:eastAsia="Times New Roman" w:hAnsi="Times New Roman" w:cs="Times New Roman"/>
          <w:color w:val="000000"/>
          <w:sz w:val="28"/>
          <w:szCs w:val="24"/>
          <w:lang w:eastAsia="ru-RU"/>
        </w:rPr>
        <w:t>тыс.человек</w:t>
      </w:r>
      <w:proofErr w:type="spellEnd"/>
      <w:r w:rsidRPr="00732784">
        <w:rPr>
          <w:rFonts w:ascii="Times New Roman" w:eastAsia="Times New Roman" w:hAnsi="Times New Roman" w:cs="Times New Roman"/>
          <w:color w:val="000000"/>
          <w:sz w:val="28"/>
          <w:szCs w:val="24"/>
          <w:lang w:eastAsia="ru-RU"/>
        </w:rPr>
        <w:t>).</w:t>
      </w:r>
    </w:p>
    <w:p w:rsidR="00732784" w:rsidRPr="00732784" w:rsidRDefault="00732784" w:rsidP="00732784">
      <w:pPr>
        <w:spacing w:after="0" w:line="367" w:lineRule="auto"/>
        <w:ind w:firstLine="709"/>
        <w:jc w:val="both"/>
        <w:rPr>
          <w:rFonts w:ascii="Times New Roman" w:eastAsia="Times New Roman" w:hAnsi="Times New Roman" w:cs="Times New Roman"/>
          <w:color w:val="000000"/>
          <w:sz w:val="28"/>
          <w:szCs w:val="24"/>
          <w:lang w:eastAsia="ru-RU"/>
        </w:rPr>
      </w:pPr>
      <w:r w:rsidRPr="00732784">
        <w:rPr>
          <w:rFonts w:ascii="Times New Roman" w:eastAsia="Times New Roman" w:hAnsi="Times New Roman" w:cs="Times New Roman"/>
          <w:sz w:val="28"/>
          <w:szCs w:val="28"/>
          <w:lang w:eastAsia="ru-RU"/>
        </w:rPr>
        <w:t>В 2020 году запланирована индексация денежного довольствия военнослужащих с 1 октября 2020 года на уровень расчетной инфляции - 3%, что соответственно позволит увеличить и "военную пенсию" тоже на 3% с 1 октября 2020 года.</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При этом индексация страховой пенсии для граждан будет произведена с            1 января 2020 года на 6,6% (в 2019 году с 1 января на 7,05%, а "военной пенсии" с 1 октября на 6,3%).</w:t>
      </w:r>
    </w:p>
    <w:p w:rsidR="00732784" w:rsidRPr="00732784" w:rsidRDefault="00732784" w:rsidP="00732784">
      <w:pPr>
        <w:spacing w:after="0" w:line="367" w:lineRule="auto"/>
        <w:jc w:val="center"/>
        <w:rPr>
          <w:rFonts w:ascii="Times New Roman" w:eastAsia="Times New Roman" w:hAnsi="Times New Roman" w:cs="Times New Roman"/>
          <w:sz w:val="28"/>
          <w:szCs w:val="28"/>
          <w:lang w:eastAsia="ru-RU"/>
        </w:rPr>
      </w:pPr>
      <w:r w:rsidRPr="0007119A">
        <w:rPr>
          <w:rFonts w:ascii="Times New Roman" w:eastAsia="Times New Roman" w:hAnsi="Times New Roman" w:cs="Times New Roman"/>
          <w:noProof/>
          <w:sz w:val="28"/>
          <w:szCs w:val="28"/>
          <w:lang w:eastAsia="ru-RU"/>
        </w:rPr>
        <w:lastRenderedPageBreak/>
        <w:drawing>
          <wp:inline distT="0" distB="0" distL="0" distR="0">
            <wp:extent cx="5781675" cy="358140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Анализ роста пенсий в Российской Федерации показывает, что уже который год наблюдается более низкий уровень индексации "военных пенсий", чем страховой пенсии для граждан.</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Наряду с этим, "военные пенсионеры" согласно </w:t>
      </w:r>
      <w:proofErr w:type="gramStart"/>
      <w:r w:rsidRPr="00732784">
        <w:rPr>
          <w:rFonts w:ascii="Times New Roman" w:eastAsia="Times New Roman" w:hAnsi="Times New Roman" w:cs="Times New Roman"/>
          <w:sz w:val="28"/>
          <w:szCs w:val="28"/>
          <w:lang w:eastAsia="ru-RU"/>
        </w:rPr>
        <w:t>законодательству</w:t>
      </w:r>
      <w:proofErr w:type="gramEnd"/>
      <w:r w:rsidRPr="00732784">
        <w:rPr>
          <w:rFonts w:ascii="Times New Roman" w:eastAsia="Times New Roman" w:hAnsi="Times New Roman" w:cs="Times New Roman"/>
          <w:sz w:val="28"/>
          <w:szCs w:val="28"/>
          <w:lang w:eastAsia="ru-RU"/>
        </w:rPr>
        <w:t xml:space="preserve"> получают неполную пенсию. Размер денежного довольствия, учитываемого при исчислении пенсии в соответствии с частью второй статьи 43 Закона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 4468-I) составляет с 1 января 2012 года 54% и начиная с 1 января 2013 года ежегодно должен увеличивается на 2%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lastRenderedPageBreak/>
        <w:t xml:space="preserve">Введение данной нормы было обусловлено с учетом имеющихся на 2012 год экономических возможностей государства и значительного увеличения пенсии в связи с принятием в 2011 году Федерального закона № 306-ФЗ. </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Предложенный порядок исчисления размеров военных пенсий позволил увеличить их размеры в 2012 году в среднем на 50 - 60 % по отношению к уровню 2011 года (уровень "военных пенсий" в 2011 году по отдельным категориям военнослужащих был ниже трудовых пенсий). </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При этом </w:t>
      </w:r>
      <w:r w:rsidRPr="00732784">
        <w:rPr>
          <w:rFonts w:ascii="Times New Roman" w:eastAsia="Times New Roman" w:hAnsi="Times New Roman" w:cs="Times New Roman"/>
          <w:bCs/>
          <w:sz w:val="28"/>
          <w:szCs w:val="28"/>
          <w:lang w:eastAsia="ru-RU"/>
        </w:rPr>
        <w:t>в соответствии со статьей 49</w:t>
      </w:r>
      <w:r w:rsidRPr="00732784">
        <w:rPr>
          <w:rFonts w:ascii="Times New Roman" w:eastAsia="Times New Roman" w:hAnsi="Times New Roman" w:cs="Times New Roman"/>
          <w:sz w:val="28"/>
          <w:szCs w:val="28"/>
          <w:lang w:eastAsia="ru-RU"/>
        </w:rPr>
        <w:t xml:space="preserve"> Закона № 4468-I "</w:t>
      </w:r>
      <w:r w:rsidRPr="00732784">
        <w:rPr>
          <w:rFonts w:ascii="Times New Roman" w:eastAsia="Times New Roman" w:hAnsi="Times New Roman" w:cs="Times New Roman"/>
          <w:bCs/>
          <w:sz w:val="28"/>
          <w:szCs w:val="28"/>
          <w:lang w:eastAsia="ru-RU"/>
        </w:rPr>
        <w:t>военные пенсии",</w:t>
      </w:r>
      <w:r w:rsidRPr="00732784">
        <w:rPr>
          <w:rFonts w:ascii="Times New Roman" w:eastAsia="Times New Roman" w:hAnsi="Times New Roman" w:cs="Times New Roman"/>
          <w:b/>
          <w:bCs/>
          <w:sz w:val="28"/>
          <w:szCs w:val="28"/>
          <w:lang w:eastAsia="ru-RU"/>
        </w:rPr>
        <w:t xml:space="preserve"> </w:t>
      </w:r>
      <w:r w:rsidRPr="00732784">
        <w:rPr>
          <w:rFonts w:ascii="Times New Roman" w:eastAsia="Times New Roman" w:hAnsi="Times New Roman" w:cs="Times New Roman"/>
          <w:bCs/>
          <w:sz w:val="28"/>
          <w:szCs w:val="28"/>
          <w:lang w:eastAsia="ru-RU"/>
        </w:rPr>
        <w:t>подлежат пересмотру дважды в год:</w:t>
      </w:r>
      <w:r w:rsidRPr="00732784">
        <w:rPr>
          <w:rFonts w:ascii="Times New Roman" w:eastAsia="Times New Roman" w:hAnsi="Times New Roman" w:cs="Times New Roman"/>
          <w:sz w:val="28"/>
          <w:szCs w:val="28"/>
          <w:lang w:eastAsia="ru-RU"/>
        </w:rPr>
        <w:t xml:space="preserve"> </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bCs/>
          <w:sz w:val="28"/>
          <w:szCs w:val="28"/>
          <w:lang w:eastAsia="ru-RU"/>
        </w:rPr>
        <w:t xml:space="preserve">с 1 января каждого года с учетом увеличения денежного довольствия, установленного частью второй </w:t>
      </w:r>
      <w:hyperlink r:id="rId6" w:history="1">
        <w:r w:rsidRPr="00732784">
          <w:rPr>
            <w:rFonts w:ascii="Times New Roman" w:eastAsia="Times New Roman" w:hAnsi="Times New Roman" w:cs="Times New Roman"/>
            <w:bCs/>
            <w:sz w:val="28"/>
            <w:szCs w:val="28"/>
            <w:lang w:eastAsia="ru-RU"/>
          </w:rPr>
          <w:t>статьи 43</w:t>
        </w:r>
      </w:hyperlink>
      <w:r w:rsidRPr="00732784">
        <w:rPr>
          <w:rFonts w:ascii="Times New Roman" w:eastAsia="Times New Roman" w:hAnsi="Times New Roman" w:cs="Times New Roman"/>
          <w:bCs/>
          <w:sz w:val="28"/>
          <w:szCs w:val="28"/>
          <w:lang w:eastAsia="ru-RU"/>
        </w:rPr>
        <w:t xml:space="preserve"> настоящего Закона </w:t>
      </w:r>
      <w:r w:rsidRPr="00732784">
        <w:rPr>
          <w:rFonts w:ascii="Times New Roman" w:eastAsia="Times New Roman" w:hAnsi="Times New Roman" w:cs="Times New Roman"/>
          <w:sz w:val="28"/>
          <w:szCs w:val="28"/>
          <w:lang w:eastAsia="ru-RU"/>
        </w:rPr>
        <w:t>№ 4468-I</w:t>
      </w:r>
      <w:r w:rsidRPr="00732784">
        <w:rPr>
          <w:rFonts w:ascii="Times New Roman" w:eastAsia="Times New Roman" w:hAnsi="Times New Roman" w:cs="Times New Roman"/>
          <w:bCs/>
          <w:sz w:val="28"/>
          <w:szCs w:val="28"/>
          <w:lang w:eastAsia="ru-RU"/>
        </w:rPr>
        <w:t>.</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bCs/>
          <w:sz w:val="28"/>
          <w:szCs w:val="28"/>
          <w:lang w:eastAsia="ru-RU"/>
        </w:rPr>
      </w:pPr>
      <w:r w:rsidRPr="00732784">
        <w:rPr>
          <w:rFonts w:ascii="Times New Roman" w:eastAsia="Times New Roman" w:hAnsi="Times New Roman" w:cs="Times New Roman"/>
          <w:sz w:val="28"/>
          <w:szCs w:val="28"/>
          <w:lang w:eastAsia="ru-RU"/>
        </w:rPr>
        <w:t>Кроме того, подпунктом "г" пункта 1 Указа Президента Российской Федерации от 7 мая 2012 года № 604 "О дальнейшем совершенствовании военной службы в Российской Федерации" (далее – Указ № 604) Правительству Российской Федерации поручено обеспечить ежегодное увеличение пенсий гражданам, уволенным с военной службы, не менее чем на 2 процента сверх уровня инфляции.</w:t>
      </w:r>
    </w:p>
    <w:p w:rsidR="00732784" w:rsidRPr="00732784" w:rsidRDefault="00732784" w:rsidP="00732784">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Вместе с тем, с 2013 года по 2017 год включительно действие части 9 статьи 2 Федерального закона от 7 ноября 2011 года № 306-ФЗ "О денежном довольствии военнослужащих и предоставлении им отдельных выплат" (далее – № ФЗ-306), в соответствии с которой размеры окладов по воинским должностям и окладов по воинским званиям должны ежегодно увеличиваться (индексироваться) с учетом уровня инфляции (потребительских цен) приостановлено, а начиная с 2015 года по настоящее время приостановлено также и действие части второй статьи 43 Закона № 4468-1. </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При этом до 2018 года увеличение "военной пенсии" осуществлялось путем изменения размера денежного довольствия, учитываемого при </w:t>
      </w:r>
      <w:r w:rsidRPr="00732784">
        <w:rPr>
          <w:rFonts w:ascii="Times New Roman" w:eastAsia="Times New Roman" w:hAnsi="Times New Roman" w:cs="Times New Roman"/>
          <w:sz w:val="28"/>
          <w:szCs w:val="28"/>
          <w:lang w:eastAsia="ru-RU"/>
        </w:rPr>
        <w:lastRenderedPageBreak/>
        <w:t>исчислении пенсии в соответствии с Законом № 4468-I ("понижающего" коэффициента).</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Таким образом, государство фактически </w:t>
      </w:r>
      <w:r w:rsidRPr="00732784">
        <w:rPr>
          <w:rFonts w:ascii="Times New Roman" w:eastAsia="Times New Roman" w:hAnsi="Times New Roman" w:cs="Times New Roman"/>
          <w:spacing w:val="-2"/>
          <w:sz w:val="28"/>
          <w:szCs w:val="24"/>
          <w:lang w:eastAsia="ru-RU"/>
        </w:rPr>
        <w:t xml:space="preserve">выполняло установленное </w:t>
      </w:r>
      <w:r w:rsidRPr="00732784">
        <w:rPr>
          <w:rFonts w:ascii="Times New Roman" w:eastAsia="Times New Roman" w:hAnsi="Times New Roman" w:cs="Times New Roman"/>
          <w:sz w:val="28"/>
          <w:szCs w:val="28"/>
          <w:lang w:eastAsia="ru-RU"/>
        </w:rPr>
        <w:t>частью второй статьи 43 Закона  № 4468-I обязательство по увеличению "понижающего коэффициента" не менее, чем на 2 процента, на что и ссылался Конституционный Суд Российской Федерации в определениях по жалобам о проверке конституционности федеральных законов, ранее приостанавливавших действие части второй статьи 43 Закона № 4468-I (Определения Конституционного Суда Российской Федерации от 8 декабря 2015 года № 2739-О, от 19 ноября 2015 года № 2709-О, от 29 сентября 2015 года № 2250-О).</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При этом более высокий темп роста "</w:t>
      </w:r>
      <w:proofErr w:type="gramStart"/>
      <w:r w:rsidRPr="00732784">
        <w:rPr>
          <w:rFonts w:ascii="Times New Roman" w:eastAsia="Times New Roman" w:hAnsi="Times New Roman" w:cs="Times New Roman"/>
          <w:sz w:val="28"/>
          <w:szCs w:val="28"/>
          <w:lang w:eastAsia="ru-RU"/>
        </w:rPr>
        <w:t>понижающего  коэффициента</w:t>
      </w:r>
      <w:proofErr w:type="gramEnd"/>
      <w:r w:rsidRPr="00732784">
        <w:rPr>
          <w:rFonts w:ascii="Times New Roman" w:eastAsia="Times New Roman" w:hAnsi="Times New Roman" w:cs="Times New Roman"/>
          <w:sz w:val="28"/>
          <w:szCs w:val="28"/>
          <w:lang w:eastAsia="ru-RU"/>
        </w:rPr>
        <w:t>", чем это указано в Законе № 4468-I, с 2014 по 2016 годы не покрывал даже уровень инфляции, не говоря о выполнении Указа № 604.</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559"/>
        <w:gridCol w:w="1701"/>
        <w:gridCol w:w="1701"/>
        <w:gridCol w:w="1559"/>
        <w:gridCol w:w="1134"/>
        <w:gridCol w:w="1277"/>
      </w:tblGrid>
      <w:tr w:rsidR="00732784" w:rsidRPr="00732784" w:rsidTr="00775A03">
        <w:trPr>
          <w:tblHeader/>
        </w:trPr>
        <w:tc>
          <w:tcPr>
            <w:tcW w:w="9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sz w:val="20"/>
                <w:szCs w:val="20"/>
                <w:lang w:eastAsia="ru-RU"/>
              </w:rPr>
              <w:t>Годы</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sz w:val="20"/>
                <w:szCs w:val="20"/>
                <w:lang w:eastAsia="ru-RU"/>
              </w:rPr>
              <w:t>Коэффициент</w:t>
            </w:r>
          </w:p>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sz w:val="20"/>
                <w:szCs w:val="20"/>
                <w:lang w:eastAsia="ru-RU"/>
              </w:rPr>
              <w:t xml:space="preserve">который планировался </w:t>
            </w:r>
          </w:p>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sz w:val="20"/>
                <w:szCs w:val="20"/>
                <w:lang w:eastAsia="ru-RU"/>
              </w:rPr>
              <w:t>(по Закону № 4468-I)</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bCs/>
                <w:sz w:val="20"/>
                <w:szCs w:val="20"/>
                <w:lang w:eastAsia="ru-RU"/>
              </w:rPr>
              <w:t>Установленный коэффициент</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18"/>
                <w:szCs w:val="18"/>
                <w:lang w:eastAsia="ru-RU"/>
              </w:rPr>
            </w:pPr>
            <w:r w:rsidRPr="00732784">
              <w:rPr>
                <w:rFonts w:ascii="Times New Roman" w:eastAsia="Times New Roman" w:hAnsi="Times New Roman" w:cs="Times New Roman"/>
                <w:b/>
                <w:bCs/>
                <w:sz w:val="18"/>
                <w:szCs w:val="18"/>
                <w:lang w:eastAsia="ru-RU"/>
              </w:rPr>
              <w:t>Повышение денежного довольствия военнослужащих</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bCs/>
                <w:sz w:val="20"/>
                <w:szCs w:val="20"/>
                <w:lang w:eastAsia="ru-RU"/>
              </w:rPr>
              <w:t>Повышение</w:t>
            </w:r>
          </w:p>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bCs/>
                <w:sz w:val="20"/>
                <w:szCs w:val="20"/>
                <w:lang w:eastAsia="ru-RU"/>
              </w:rPr>
              <w:t>военной пенсии</w:t>
            </w:r>
          </w:p>
          <w:p w:rsidR="00732784" w:rsidRPr="00732784" w:rsidRDefault="00732784" w:rsidP="00732784">
            <w:pPr>
              <w:spacing w:after="0" w:line="240" w:lineRule="auto"/>
              <w:jc w:val="center"/>
              <w:rPr>
                <w:rFonts w:ascii="Times New Roman" w:eastAsia="Times New Roman" w:hAnsi="Times New Roman" w:cs="Times New Roman"/>
                <w:b/>
                <w:sz w:val="20"/>
                <w:szCs w:val="20"/>
                <w:lang w:eastAsia="ru-RU"/>
              </w:rPr>
            </w:pPr>
            <w:r w:rsidRPr="00732784">
              <w:rPr>
                <w:rFonts w:ascii="Times New Roman" w:eastAsia="Times New Roman" w:hAnsi="Times New Roman" w:cs="Times New Roman"/>
                <w:b/>
                <w:bCs/>
                <w:sz w:val="20"/>
                <w:szCs w:val="20"/>
                <w:lang w:eastAsia="ru-RU"/>
              </w:rPr>
              <w:t>на %</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b/>
                <w:sz w:val="16"/>
                <w:szCs w:val="16"/>
                <w:lang w:eastAsia="ru-RU"/>
              </w:rPr>
            </w:pPr>
            <w:r w:rsidRPr="00732784">
              <w:rPr>
                <w:rFonts w:ascii="Times New Roman" w:eastAsia="Times New Roman" w:hAnsi="Times New Roman" w:cs="Times New Roman"/>
                <w:b/>
                <w:bCs/>
                <w:sz w:val="16"/>
                <w:szCs w:val="16"/>
                <w:lang w:eastAsia="ru-RU"/>
              </w:rPr>
              <w:t>Инфляция</w:t>
            </w:r>
          </w:p>
        </w:tc>
        <w:tc>
          <w:tcPr>
            <w:tcW w:w="1277" w:type="dxa"/>
          </w:tcPr>
          <w:p w:rsidR="00732784" w:rsidRPr="00732784" w:rsidRDefault="00732784" w:rsidP="00732784">
            <w:pPr>
              <w:spacing w:after="0" w:line="240" w:lineRule="auto"/>
              <w:jc w:val="center"/>
              <w:rPr>
                <w:rFonts w:ascii="Times New Roman" w:eastAsia="Times New Roman" w:hAnsi="Times New Roman" w:cs="Times New Roman"/>
                <w:b/>
                <w:bCs/>
                <w:sz w:val="16"/>
                <w:szCs w:val="16"/>
                <w:lang w:eastAsia="ru-RU"/>
              </w:rPr>
            </w:pPr>
            <w:r w:rsidRPr="00732784">
              <w:rPr>
                <w:rFonts w:ascii="Times New Roman" w:eastAsia="Times New Roman" w:hAnsi="Times New Roman" w:cs="Times New Roman"/>
                <w:b/>
                <w:bCs/>
                <w:sz w:val="16"/>
                <w:szCs w:val="16"/>
                <w:lang w:eastAsia="ru-RU"/>
              </w:rPr>
              <w:t>Повышение которое должно быть в соответствии с Указом №604</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2012</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54%</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bCs/>
                <w:color w:val="FFFFFF"/>
                <w:kern w:val="24"/>
                <w:sz w:val="20"/>
                <w:szCs w:val="20"/>
                <w:lang w:eastAsia="ru-RU"/>
              </w:rPr>
              <w:t>54%</w:t>
            </w:r>
          </w:p>
        </w:tc>
        <w:tc>
          <w:tcPr>
            <w:tcW w:w="1701" w:type="dxa"/>
            <w:shd w:val="clear" w:color="auto" w:fill="auto"/>
          </w:tcPr>
          <w:p w:rsidR="00732784" w:rsidRPr="00732784" w:rsidRDefault="00732784" w:rsidP="00732784">
            <w:pPr>
              <w:spacing w:after="0" w:line="240" w:lineRule="auto"/>
              <w:rPr>
                <w:rFonts w:ascii="Times New Roman" w:eastAsia="Times New Roman" w:hAnsi="Times New Roman" w:cs="Times New Roman"/>
                <w:sz w:val="20"/>
                <w:szCs w:val="20"/>
                <w:lang w:eastAsia="ru-RU"/>
              </w:rPr>
            </w:pPr>
          </w:p>
        </w:tc>
        <w:tc>
          <w:tcPr>
            <w:tcW w:w="1559" w:type="dxa"/>
            <w:shd w:val="clear" w:color="auto" w:fill="auto"/>
          </w:tcPr>
          <w:p w:rsidR="00732784" w:rsidRPr="00732784" w:rsidRDefault="00732784" w:rsidP="00732784">
            <w:pPr>
              <w:spacing w:after="0" w:line="240" w:lineRule="auto"/>
              <w:rPr>
                <w:rFonts w:ascii="Times New Roman" w:eastAsia="Times New Roman" w:hAnsi="Times New Roman" w:cs="Times New Roman"/>
                <w:sz w:val="20"/>
                <w:szCs w:val="20"/>
                <w:lang w:eastAsia="ru-RU"/>
              </w:rPr>
            </w:pP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color w:val="000000"/>
                <w:kern w:val="24"/>
                <w:sz w:val="20"/>
                <w:szCs w:val="20"/>
                <w:lang w:eastAsia="ru-RU"/>
              </w:rPr>
              <w:t> </w:t>
            </w:r>
          </w:p>
        </w:tc>
        <w:tc>
          <w:tcPr>
            <w:tcW w:w="1277" w:type="dxa"/>
          </w:tcPr>
          <w:p w:rsidR="00732784" w:rsidRPr="00732784" w:rsidRDefault="00732784" w:rsidP="00732784">
            <w:pPr>
              <w:spacing w:after="0" w:line="240" w:lineRule="auto"/>
              <w:jc w:val="center"/>
              <w:rPr>
                <w:rFonts w:ascii="Times New Roman" w:eastAsia="Calibri" w:hAnsi="Times New Roman" w:cs="Times New Roman"/>
                <w:bCs/>
                <w:color w:val="000000"/>
                <w:kern w:val="24"/>
                <w:sz w:val="20"/>
                <w:szCs w:val="20"/>
                <w:lang w:eastAsia="ru-RU"/>
              </w:rPr>
            </w:pP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2013</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56%</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58,05%</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+8,33%</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6,45 %</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8,45%</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2014</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58%</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62,12%</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+6,19%</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11,36 %</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13,36%</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2015</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bCs/>
                <w:kern w:val="24"/>
                <w:sz w:val="20"/>
                <w:szCs w:val="20"/>
                <w:lang w:eastAsia="ru-RU"/>
              </w:rPr>
              <w:t>60%</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66,78%</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+7,5%</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12,90 %</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14,90%</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2016</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62%</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69,45%</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+4,0%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5,4 %</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7,4%</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2017</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bCs/>
                <w:kern w:val="24"/>
                <w:sz w:val="20"/>
                <w:szCs w:val="20"/>
                <w:lang w:eastAsia="ru-RU"/>
              </w:rPr>
              <w:t>64%</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72,23%</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+4,0%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2,8 %</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4,8%</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2018</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bCs/>
                <w:kern w:val="24"/>
                <w:sz w:val="20"/>
                <w:szCs w:val="20"/>
                <w:lang w:eastAsia="ru-RU"/>
              </w:rPr>
              <w:t>66%</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72,23%</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4%</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Times New Roman" w:hAnsi="Times New Roman" w:cs="Times New Roman"/>
                <w:color w:val="000000"/>
                <w:kern w:val="24"/>
                <w:sz w:val="20"/>
                <w:szCs w:val="20"/>
                <w:lang w:eastAsia="ru-RU"/>
              </w:rPr>
              <w:t>+4,0%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3,8%</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5,8%</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2019</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68%</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73,68%</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4,3% (с 1.10)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color w:val="000000"/>
                <w:kern w:val="24"/>
                <w:sz w:val="20"/>
                <w:szCs w:val="20"/>
                <w:lang w:eastAsia="ru-RU"/>
              </w:rPr>
            </w:pPr>
            <w:r w:rsidRPr="00732784">
              <w:rPr>
                <w:rFonts w:ascii="Times New Roman" w:eastAsia="Times New Roman" w:hAnsi="Times New Roman" w:cs="Times New Roman"/>
                <w:color w:val="000000"/>
                <w:kern w:val="24"/>
                <w:sz w:val="20"/>
                <w:szCs w:val="20"/>
                <w:lang w:eastAsia="ru-RU"/>
              </w:rPr>
              <w:t>+6,3% (с 1.10)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4,3%</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6,3%</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2020</w:t>
            </w:r>
          </w:p>
        </w:tc>
        <w:tc>
          <w:tcPr>
            <w:tcW w:w="15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bCs/>
                <w:kern w:val="24"/>
                <w:sz w:val="20"/>
                <w:szCs w:val="20"/>
                <w:lang w:eastAsia="ru-RU"/>
              </w:rPr>
              <w:t>70%</w:t>
            </w:r>
          </w:p>
        </w:tc>
        <w:tc>
          <w:tcPr>
            <w:tcW w:w="1701"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73,68%</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3% (с 1.10)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color w:val="000000"/>
                <w:kern w:val="24"/>
                <w:sz w:val="20"/>
                <w:szCs w:val="20"/>
                <w:lang w:eastAsia="ru-RU"/>
              </w:rPr>
            </w:pPr>
            <w:r w:rsidRPr="00732784">
              <w:rPr>
                <w:rFonts w:ascii="Times New Roman" w:eastAsia="Times New Roman" w:hAnsi="Times New Roman" w:cs="Times New Roman"/>
                <w:color w:val="000000"/>
                <w:kern w:val="24"/>
                <w:sz w:val="20"/>
                <w:szCs w:val="20"/>
                <w:lang w:eastAsia="ru-RU"/>
              </w:rPr>
              <w:t>+3,0% (с 1.10)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sz w:val="20"/>
                <w:szCs w:val="20"/>
                <w:lang w:eastAsia="ru-RU"/>
              </w:rPr>
            </w:pPr>
            <w:r w:rsidRPr="00732784">
              <w:rPr>
                <w:rFonts w:ascii="Times New Roman" w:eastAsia="Calibri" w:hAnsi="Times New Roman" w:cs="Times New Roman"/>
                <w:color w:val="000000"/>
                <w:kern w:val="24"/>
                <w:sz w:val="20"/>
                <w:szCs w:val="20"/>
                <w:lang w:eastAsia="ru-RU"/>
              </w:rPr>
              <w:t>3%</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5,0%</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2021</w:t>
            </w:r>
          </w:p>
        </w:tc>
        <w:tc>
          <w:tcPr>
            <w:tcW w:w="1559" w:type="dxa"/>
            <w:shd w:val="clear" w:color="auto" w:fill="auto"/>
          </w:tcPr>
          <w:p w:rsidR="00732784" w:rsidRPr="00732784" w:rsidRDefault="00732784" w:rsidP="00732784">
            <w:pPr>
              <w:spacing w:after="0" w:line="240" w:lineRule="auto"/>
              <w:jc w:val="center"/>
              <w:rPr>
                <w:rFonts w:ascii="Times New Roman" w:eastAsia="Calibri" w:hAnsi="Times New Roman" w:cs="Times New Roman"/>
                <w:bCs/>
                <w:kern w:val="24"/>
                <w:sz w:val="20"/>
                <w:szCs w:val="20"/>
                <w:lang w:eastAsia="ru-RU"/>
              </w:rPr>
            </w:pPr>
            <w:r w:rsidRPr="00732784">
              <w:rPr>
                <w:rFonts w:ascii="Times New Roman" w:eastAsia="Calibri" w:hAnsi="Times New Roman" w:cs="Times New Roman"/>
                <w:bCs/>
                <w:kern w:val="24"/>
                <w:sz w:val="20"/>
                <w:szCs w:val="20"/>
                <w:lang w:eastAsia="ru-RU"/>
              </w:rPr>
              <w:t>72%</w:t>
            </w:r>
          </w:p>
        </w:tc>
        <w:tc>
          <w:tcPr>
            <w:tcW w:w="1701" w:type="dxa"/>
            <w:shd w:val="clear" w:color="auto" w:fill="auto"/>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73,68%</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4% (с 1.10)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color w:val="000000"/>
                <w:kern w:val="24"/>
                <w:sz w:val="20"/>
                <w:szCs w:val="20"/>
                <w:lang w:eastAsia="ru-RU"/>
              </w:rPr>
            </w:pPr>
            <w:r w:rsidRPr="00732784">
              <w:rPr>
                <w:rFonts w:ascii="Times New Roman" w:eastAsia="Times New Roman" w:hAnsi="Times New Roman" w:cs="Times New Roman"/>
                <w:color w:val="000000"/>
                <w:kern w:val="24"/>
                <w:sz w:val="20"/>
                <w:szCs w:val="20"/>
                <w:lang w:eastAsia="ru-RU"/>
              </w:rPr>
              <w:t>+4,0% (с 1.10)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4%</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6,0%</w:t>
            </w:r>
          </w:p>
        </w:tc>
      </w:tr>
      <w:tr w:rsidR="00732784" w:rsidRPr="00732784" w:rsidTr="00775A03">
        <w:tc>
          <w:tcPr>
            <w:tcW w:w="959" w:type="dxa"/>
            <w:shd w:val="clear" w:color="auto" w:fill="auto"/>
          </w:tcPr>
          <w:p w:rsidR="00732784" w:rsidRPr="00732784" w:rsidRDefault="00732784" w:rsidP="00732784">
            <w:pPr>
              <w:spacing w:after="0" w:line="240" w:lineRule="auto"/>
              <w:jc w:val="center"/>
              <w:rPr>
                <w:rFonts w:ascii="Times New Roman" w:eastAsia="Times New Roman" w:hAnsi="Times New Roman" w:cs="Times New Roman"/>
                <w:sz w:val="24"/>
                <w:szCs w:val="24"/>
                <w:lang w:eastAsia="ru-RU"/>
              </w:rPr>
            </w:pPr>
            <w:r w:rsidRPr="00732784">
              <w:rPr>
                <w:rFonts w:ascii="Times New Roman" w:eastAsia="Times New Roman" w:hAnsi="Times New Roman" w:cs="Times New Roman"/>
                <w:sz w:val="24"/>
                <w:szCs w:val="24"/>
                <w:lang w:eastAsia="ru-RU"/>
              </w:rPr>
              <w:t>2022</w:t>
            </w:r>
          </w:p>
        </w:tc>
        <w:tc>
          <w:tcPr>
            <w:tcW w:w="1559" w:type="dxa"/>
            <w:shd w:val="clear" w:color="auto" w:fill="auto"/>
          </w:tcPr>
          <w:p w:rsidR="00732784" w:rsidRPr="00732784" w:rsidRDefault="00732784" w:rsidP="00732784">
            <w:pPr>
              <w:spacing w:after="0" w:line="240" w:lineRule="auto"/>
              <w:jc w:val="center"/>
              <w:rPr>
                <w:rFonts w:ascii="Times New Roman" w:eastAsia="Calibri" w:hAnsi="Times New Roman" w:cs="Times New Roman"/>
                <w:bCs/>
                <w:kern w:val="24"/>
                <w:sz w:val="20"/>
                <w:szCs w:val="20"/>
                <w:lang w:eastAsia="ru-RU"/>
              </w:rPr>
            </w:pPr>
            <w:r w:rsidRPr="00732784">
              <w:rPr>
                <w:rFonts w:ascii="Times New Roman" w:eastAsia="Calibri" w:hAnsi="Times New Roman" w:cs="Times New Roman"/>
                <w:bCs/>
                <w:kern w:val="24"/>
                <w:sz w:val="20"/>
                <w:szCs w:val="20"/>
                <w:lang w:eastAsia="ru-RU"/>
              </w:rPr>
              <w:t>74%</w:t>
            </w:r>
          </w:p>
        </w:tc>
        <w:tc>
          <w:tcPr>
            <w:tcW w:w="1701" w:type="dxa"/>
            <w:shd w:val="clear" w:color="auto" w:fill="auto"/>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73,68%</w:t>
            </w:r>
          </w:p>
        </w:tc>
        <w:tc>
          <w:tcPr>
            <w:tcW w:w="1701" w:type="dxa"/>
            <w:shd w:val="clear" w:color="auto" w:fill="auto"/>
            <w:vAlign w:val="center"/>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4% (с 1.10)</w:t>
            </w:r>
          </w:p>
        </w:tc>
        <w:tc>
          <w:tcPr>
            <w:tcW w:w="1559" w:type="dxa"/>
            <w:shd w:val="clear" w:color="auto" w:fill="auto"/>
            <w:vAlign w:val="center"/>
          </w:tcPr>
          <w:p w:rsidR="00732784" w:rsidRPr="00732784" w:rsidRDefault="00732784" w:rsidP="00732784">
            <w:pPr>
              <w:spacing w:after="0" w:line="240" w:lineRule="auto"/>
              <w:jc w:val="center"/>
              <w:rPr>
                <w:rFonts w:ascii="Times New Roman" w:eastAsia="Times New Roman" w:hAnsi="Times New Roman" w:cs="Times New Roman"/>
                <w:color w:val="000000"/>
                <w:kern w:val="24"/>
                <w:sz w:val="20"/>
                <w:szCs w:val="20"/>
                <w:lang w:eastAsia="ru-RU"/>
              </w:rPr>
            </w:pPr>
            <w:r w:rsidRPr="00732784">
              <w:rPr>
                <w:rFonts w:ascii="Times New Roman" w:eastAsia="Times New Roman" w:hAnsi="Times New Roman" w:cs="Times New Roman"/>
                <w:color w:val="000000"/>
                <w:kern w:val="24"/>
                <w:sz w:val="20"/>
                <w:szCs w:val="20"/>
                <w:lang w:eastAsia="ru-RU"/>
              </w:rPr>
              <w:t>+4,0% (с 1.10)</w:t>
            </w:r>
          </w:p>
        </w:tc>
        <w:tc>
          <w:tcPr>
            <w:tcW w:w="1134" w:type="dxa"/>
            <w:shd w:val="clear" w:color="auto" w:fill="auto"/>
            <w:vAlign w:val="center"/>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4%</w:t>
            </w:r>
          </w:p>
        </w:tc>
        <w:tc>
          <w:tcPr>
            <w:tcW w:w="1277" w:type="dxa"/>
          </w:tcPr>
          <w:p w:rsidR="00732784" w:rsidRPr="00732784" w:rsidRDefault="00732784" w:rsidP="00732784">
            <w:pPr>
              <w:spacing w:after="0" w:line="240" w:lineRule="auto"/>
              <w:jc w:val="center"/>
              <w:rPr>
                <w:rFonts w:ascii="Times New Roman" w:eastAsia="Calibri" w:hAnsi="Times New Roman" w:cs="Times New Roman"/>
                <w:color w:val="000000"/>
                <w:kern w:val="24"/>
                <w:sz w:val="20"/>
                <w:szCs w:val="20"/>
                <w:lang w:eastAsia="ru-RU"/>
              </w:rPr>
            </w:pPr>
            <w:r w:rsidRPr="00732784">
              <w:rPr>
                <w:rFonts w:ascii="Times New Roman" w:eastAsia="Calibri" w:hAnsi="Times New Roman" w:cs="Times New Roman"/>
                <w:color w:val="000000"/>
                <w:kern w:val="24"/>
                <w:sz w:val="20"/>
                <w:szCs w:val="20"/>
                <w:lang w:eastAsia="ru-RU"/>
              </w:rPr>
              <w:t>6,0%</w:t>
            </w:r>
          </w:p>
        </w:tc>
      </w:tr>
    </w:tbl>
    <w:p w:rsidR="00732784" w:rsidRPr="00732784" w:rsidRDefault="00732784" w:rsidP="00732784">
      <w:pPr>
        <w:spacing w:after="0" w:line="360" w:lineRule="auto"/>
        <w:ind w:firstLine="709"/>
        <w:jc w:val="both"/>
        <w:rPr>
          <w:rFonts w:ascii="Times New Roman" w:eastAsia="Times New Roman" w:hAnsi="Times New Roman" w:cs="Times New Roman"/>
          <w:sz w:val="16"/>
          <w:szCs w:val="16"/>
          <w:lang w:eastAsia="ru-RU"/>
        </w:rPr>
      </w:pP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В 2018 года увеличение "понижающего коэффициента", в соответствии с частью второй статьи 43 Закона № 4468-I не осуществлялось. А в 2019 году увеличение "понижающего коэффициента" было ниже 2% (на 1,45%) и с 1 октября 2019 год он составил 73,68%.</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Вместе с тем, Правительством Российской Федерации внесен в Государственную Думу законопроект № 802513-7 "О приостановлении </w:t>
      </w:r>
      <w:r w:rsidRPr="00732784">
        <w:rPr>
          <w:rFonts w:ascii="Times New Roman" w:eastAsia="Times New Roman" w:hAnsi="Times New Roman" w:cs="Times New Roman"/>
          <w:sz w:val="28"/>
          <w:szCs w:val="28"/>
          <w:lang w:eastAsia="ru-RU"/>
        </w:rPr>
        <w:lastRenderedPageBreak/>
        <w:t xml:space="preserve">действия части 2 статьи 43 Закона Российской Федерации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связи с Федеральным законом "О федеральном бюджете на 2020 год и на плановый период 2021 и 2022 годов". Вышеназванным законопроектом предусмотрено сохранить с 1 января 2019 года до 1 января 2020 года прежний размер (73,68%) денежного довольствия, учитываемого при исчислении пенсии. </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Комитет по обороне неоднократно отмечал, </w:t>
      </w:r>
      <w:proofErr w:type="gramStart"/>
      <w:r w:rsidRPr="00732784">
        <w:rPr>
          <w:rFonts w:ascii="Times New Roman" w:eastAsia="Times New Roman" w:hAnsi="Times New Roman" w:cs="Times New Roman"/>
          <w:sz w:val="28"/>
          <w:szCs w:val="28"/>
          <w:lang w:eastAsia="ru-RU"/>
        </w:rPr>
        <w:t>что</w:t>
      </w:r>
      <w:proofErr w:type="gramEnd"/>
      <w:r w:rsidRPr="00732784">
        <w:rPr>
          <w:rFonts w:ascii="Times New Roman" w:eastAsia="Times New Roman" w:hAnsi="Times New Roman" w:cs="Times New Roman"/>
          <w:sz w:val="28"/>
          <w:szCs w:val="28"/>
          <w:lang w:eastAsia="ru-RU"/>
        </w:rPr>
        <w:t xml:space="preserve"> начиная с 2015 года положения Указа № 604 выполняются не в полной мере. "</w:t>
      </w:r>
      <w:proofErr w:type="spellStart"/>
      <w:r w:rsidRPr="00732784">
        <w:rPr>
          <w:rFonts w:ascii="Times New Roman" w:eastAsia="Times New Roman" w:hAnsi="Times New Roman" w:cs="Times New Roman"/>
          <w:sz w:val="28"/>
          <w:szCs w:val="28"/>
          <w:lang w:eastAsia="ru-RU"/>
        </w:rPr>
        <w:t>Недоиндексация</w:t>
      </w:r>
      <w:proofErr w:type="spellEnd"/>
      <w:r w:rsidRPr="00732784">
        <w:rPr>
          <w:rFonts w:ascii="Times New Roman" w:eastAsia="Times New Roman" w:hAnsi="Times New Roman" w:cs="Times New Roman"/>
          <w:sz w:val="28"/>
          <w:szCs w:val="28"/>
          <w:lang w:eastAsia="ru-RU"/>
        </w:rPr>
        <w:t>" на текущее время составила 20% (т.е. пятую часть от суммы "военной пенсии"). Это привело к тому, что размер "военных пенсий" рядового и сержантского состава военнослужащих практически сравнялся с размером страховых (трудовых) пенсий.</w:t>
      </w:r>
    </w:p>
    <w:p w:rsidR="00732784" w:rsidRPr="00732784" w:rsidRDefault="00732784" w:rsidP="00732784">
      <w:pPr>
        <w:spacing w:after="0" w:line="336" w:lineRule="auto"/>
        <w:ind w:firstLine="708"/>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Наряду с этим за счет законодательно закреплённого учета неполного размера денежного довольствия, учитываемого при исчислении "военной пенсии" (понижающего коэффициента), "экономия" бюджета с 2012 года по 2019 год составила порядка 2,8 </w:t>
      </w:r>
      <w:proofErr w:type="spellStart"/>
      <w:proofErr w:type="gramStart"/>
      <w:r w:rsidRPr="00732784">
        <w:rPr>
          <w:rFonts w:ascii="Times New Roman" w:eastAsia="Times New Roman" w:hAnsi="Times New Roman" w:cs="Times New Roman"/>
          <w:sz w:val="28"/>
          <w:szCs w:val="28"/>
          <w:lang w:eastAsia="ru-RU"/>
        </w:rPr>
        <w:t>трлн.рублей</w:t>
      </w:r>
      <w:proofErr w:type="spellEnd"/>
      <w:proofErr w:type="gramEnd"/>
      <w:r w:rsidRPr="00732784">
        <w:rPr>
          <w:rFonts w:ascii="Times New Roman" w:eastAsia="Times New Roman" w:hAnsi="Times New Roman" w:cs="Times New Roman"/>
          <w:sz w:val="28"/>
          <w:szCs w:val="28"/>
          <w:lang w:eastAsia="ru-RU"/>
        </w:rPr>
        <w:t>.</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Правительство Российской Федерации постоянно уклоняется от выполнения законодательно закрепленных пенсионных гарантий граждан, уволенных с военной и приравненной к ней службе и Указа № 604.</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Позиция и рекомендации Комитета по обороне по данному вопросу игнорируются.</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p>
    <w:p w:rsidR="00732784" w:rsidRPr="00732784" w:rsidRDefault="00732784" w:rsidP="00732784">
      <w:pPr>
        <w:spacing w:after="0" w:line="240" w:lineRule="auto"/>
        <w:jc w:val="center"/>
        <w:rPr>
          <w:rFonts w:ascii="Times New Roman" w:eastAsia="Times New Roman" w:hAnsi="Times New Roman" w:cs="Times New Roman"/>
          <w:b/>
          <w:sz w:val="28"/>
          <w:szCs w:val="28"/>
          <w:lang w:eastAsia="ru-RU"/>
        </w:rPr>
      </w:pPr>
      <w:r w:rsidRPr="00732784">
        <w:rPr>
          <w:rFonts w:ascii="Times New Roman" w:eastAsia="Times New Roman" w:hAnsi="Times New Roman" w:cs="Times New Roman"/>
          <w:b/>
          <w:sz w:val="28"/>
          <w:szCs w:val="28"/>
          <w:lang w:eastAsia="ru-RU"/>
        </w:rPr>
        <w:t>Выполнение Указа Президента Российской Федерации</w:t>
      </w:r>
    </w:p>
    <w:p w:rsidR="00732784" w:rsidRPr="00732784" w:rsidRDefault="00732784" w:rsidP="00732784">
      <w:pPr>
        <w:spacing w:after="0" w:line="240" w:lineRule="auto"/>
        <w:ind w:firstLine="709"/>
        <w:jc w:val="center"/>
        <w:rPr>
          <w:rFonts w:ascii="Times New Roman" w:eastAsia="Times New Roman" w:hAnsi="Times New Roman" w:cs="Times New Roman"/>
          <w:b/>
          <w:sz w:val="28"/>
          <w:szCs w:val="28"/>
          <w:lang w:eastAsia="ru-RU"/>
        </w:rPr>
      </w:pPr>
      <w:r w:rsidRPr="00732784">
        <w:rPr>
          <w:rFonts w:ascii="Times New Roman" w:eastAsia="Times New Roman" w:hAnsi="Times New Roman" w:cs="Times New Roman"/>
          <w:b/>
          <w:sz w:val="28"/>
          <w:szCs w:val="28"/>
          <w:lang w:eastAsia="ru-RU"/>
        </w:rPr>
        <w:t>от 7 мая 2012 года № 604</w:t>
      </w:r>
    </w:p>
    <w:p w:rsidR="00732784" w:rsidRPr="00732784" w:rsidRDefault="00732784" w:rsidP="00732784">
      <w:pPr>
        <w:spacing w:after="0" w:line="240" w:lineRule="auto"/>
        <w:ind w:firstLine="709"/>
        <w:jc w:val="center"/>
        <w:rPr>
          <w:rFonts w:ascii="Times New Roman" w:eastAsia="Times New Roman" w:hAnsi="Times New Roman" w:cs="Times New Roman"/>
          <w:b/>
          <w:sz w:val="28"/>
          <w:szCs w:val="28"/>
          <w:lang w:eastAsia="ru-RU"/>
        </w:rPr>
      </w:pPr>
    </w:p>
    <w:p w:rsidR="00732784" w:rsidRPr="00732784" w:rsidRDefault="00732784" w:rsidP="00732784">
      <w:pPr>
        <w:spacing w:after="0" w:line="240" w:lineRule="auto"/>
        <w:jc w:val="center"/>
        <w:rPr>
          <w:rFonts w:ascii="Times New Roman" w:eastAsia="Times New Roman" w:hAnsi="Times New Roman" w:cs="Times New Roman"/>
          <w:sz w:val="28"/>
          <w:szCs w:val="28"/>
          <w:lang w:eastAsia="ru-RU"/>
        </w:rPr>
      </w:pPr>
      <w:r w:rsidRPr="0007119A">
        <w:rPr>
          <w:rFonts w:ascii="Times New Roman" w:eastAsia="Times New Roman" w:hAnsi="Times New Roman" w:cs="Times New Roman"/>
          <w:noProof/>
          <w:sz w:val="28"/>
          <w:szCs w:val="28"/>
          <w:lang w:eastAsia="ru-RU"/>
        </w:rPr>
        <w:lastRenderedPageBreak/>
        <w:drawing>
          <wp:inline distT="0" distB="0" distL="0" distR="0">
            <wp:extent cx="5676900" cy="285750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 2020 году требования подпункта "г" пункта 1 Указа № 604 также не учтены. Законопроектом уровень инфляции в 2020 году предусмотрен в размере 3%. Следовательно, для выполнения требований подпункта "г" пункта 1 Указа № 604 с учетом уровня инфляции в размере 3 % необходимо доведение индексации "военной пенсии" до 5%. </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По мнению Комитета по обороне, такое исполнение Закона № 4468-I и Указа № 604 фактически дискредитирует установленный механизм пенсионного обеспечения военнослужащих, при котором "военные пенсионеры" могли рассчитывать на пересчет пенсионных выплат, заложенный еще в 2012 году.</w:t>
      </w:r>
    </w:p>
    <w:p w:rsidR="00732784" w:rsidRPr="00732784" w:rsidRDefault="00732784" w:rsidP="00732784">
      <w:pPr>
        <w:spacing w:after="0" w:line="367"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sz w:val="28"/>
          <w:szCs w:val="28"/>
          <w:lang w:eastAsia="ru-RU"/>
        </w:rPr>
        <w:t xml:space="preserve">В целях исключения дискриминации "военных пенсионеров" по отношению к другим пенсионерам, а также исполнения Закона № 4468-I и Указа № 604 Комитет по обороне настаивает на доведении индексации "военной пенсии" с 3% до 5% (с 1 октября 2020 года на 3% за счет увеличения денежного довольствия военнослужащих (на размер инфляции) как и заложено в законопроекте и на 2% с 1 января (на основании статьи 49 Закона № 4468-I) за счет изменения "понижающего коэффициента" увеличив его до 75,16 %  в целях выполнения Указа № 604). В связи с изложенным потребуются дополнительные бюджетные ассигнования в размере в 2020 году – 16,79 </w:t>
      </w:r>
      <w:proofErr w:type="spellStart"/>
      <w:proofErr w:type="gramStart"/>
      <w:r w:rsidRPr="00732784">
        <w:rPr>
          <w:rFonts w:ascii="Times New Roman" w:eastAsia="Times New Roman" w:hAnsi="Times New Roman" w:cs="Times New Roman"/>
          <w:sz w:val="28"/>
          <w:szCs w:val="28"/>
          <w:lang w:eastAsia="ru-RU"/>
        </w:rPr>
        <w:t>млрд.рублей</w:t>
      </w:r>
      <w:proofErr w:type="spellEnd"/>
      <w:proofErr w:type="gramEnd"/>
      <w:r w:rsidRPr="00732784">
        <w:rPr>
          <w:rFonts w:ascii="Times New Roman" w:eastAsia="Times New Roman" w:hAnsi="Times New Roman" w:cs="Times New Roman"/>
          <w:sz w:val="28"/>
          <w:szCs w:val="28"/>
          <w:lang w:eastAsia="ru-RU"/>
        </w:rPr>
        <w:t xml:space="preserve">, в 2021 году – 17,33 </w:t>
      </w:r>
      <w:proofErr w:type="spellStart"/>
      <w:r w:rsidRPr="00732784">
        <w:rPr>
          <w:rFonts w:ascii="Times New Roman" w:eastAsia="Times New Roman" w:hAnsi="Times New Roman" w:cs="Times New Roman"/>
          <w:sz w:val="28"/>
          <w:szCs w:val="28"/>
          <w:lang w:eastAsia="ru-RU"/>
        </w:rPr>
        <w:t>млрд.рублей</w:t>
      </w:r>
      <w:proofErr w:type="spellEnd"/>
      <w:r w:rsidRPr="00732784">
        <w:rPr>
          <w:rFonts w:ascii="Times New Roman" w:eastAsia="Times New Roman" w:hAnsi="Times New Roman" w:cs="Times New Roman"/>
          <w:sz w:val="28"/>
          <w:szCs w:val="28"/>
          <w:lang w:eastAsia="ru-RU"/>
        </w:rPr>
        <w:t xml:space="preserve">, в 2020 году – 18,03 </w:t>
      </w:r>
      <w:proofErr w:type="spellStart"/>
      <w:r w:rsidRPr="00732784">
        <w:rPr>
          <w:rFonts w:ascii="Times New Roman" w:eastAsia="Times New Roman" w:hAnsi="Times New Roman" w:cs="Times New Roman"/>
          <w:sz w:val="28"/>
          <w:szCs w:val="28"/>
          <w:lang w:eastAsia="ru-RU"/>
        </w:rPr>
        <w:lastRenderedPageBreak/>
        <w:t>млрд.рублей</w:t>
      </w:r>
      <w:proofErr w:type="spellEnd"/>
      <w:r w:rsidRPr="00732784">
        <w:rPr>
          <w:rFonts w:ascii="Times New Roman" w:eastAsia="Times New Roman" w:hAnsi="Times New Roman" w:cs="Times New Roman"/>
          <w:sz w:val="28"/>
          <w:szCs w:val="28"/>
          <w:lang w:eastAsia="ru-RU"/>
        </w:rPr>
        <w:t xml:space="preserve"> (всего на 2020-2022 годы – 52,14 </w:t>
      </w:r>
      <w:proofErr w:type="spellStart"/>
      <w:r w:rsidRPr="00732784">
        <w:rPr>
          <w:rFonts w:ascii="Times New Roman" w:eastAsia="Times New Roman" w:hAnsi="Times New Roman" w:cs="Times New Roman"/>
          <w:sz w:val="28"/>
          <w:szCs w:val="28"/>
          <w:lang w:eastAsia="ru-RU"/>
        </w:rPr>
        <w:t>млрд.рублей</w:t>
      </w:r>
      <w:proofErr w:type="spellEnd"/>
      <w:r w:rsidRPr="00732784">
        <w:rPr>
          <w:rFonts w:ascii="Times New Roman" w:eastAsia="Times New Roman" w:hAnsi="Times New Roman" w:cs="Times New Roman"/>
          <w:sz w:val="28"/>
          <w:szCs w:val="28"/>
          <w:lang w:eastAsia="ru-RU"/>
        </w:rPr>
        <w:t>). Комитет по обороне предлагает увеличение на 2020 год бюджетных ассигнований в части пенсионного обеспечения военнослужащих, членов их семей и лиц, приравненных к ним по пенсионному обеспечению произвести при внесении изменений в федеральный бюджет 2020 года, а на 2021 и 2022 годы при формировании проекта федерального бюджета на 2021 год и плановый период 2022 и 2023 годы (с учетом того, что 2022 год обеспечен не в полном объеме ассигнованиями (в законопроекте объем ассигнований ниже объема 2015 года).</w:t>
      </w:r>
    </w:p>
    <w:p w:rsidR="00732784" w:rsidRPr="00732784" w:rsidRDefault="00732784" w:rsidP="00732784">
      <w:pPr>
        <w:spacing w:after="0" w:line="360" w:lineRule="auto"/>
        <w:ind w:firstLine="709"/>
        <w:jc w:val="both"/>
        <w:rPr>
          <w:rFonts w:ascii="Times New Roman" w:eastAsia="Times New Roman" w:hAnsi="Times New Roman" w:cs="Times New Roman"/>
          <w:sz w:val="28"/>
          <w:szCs w:val="28"/>
          <w:lang w:eastAsia="ru-RU"/>
        </w:rPr>
      </w:pPr>
      <w:r w:rsidRPr="00732784">
        <w:rPr>
          <w:rFonts w:ascii="Times New Roman" w:eastAsia="Times New Roman" w:hAnsi="Times New Roman" w:cs="Times New Roman"/>
          <w:b/>
          <w:sz w:val="28"/>
          <w:szCs w:val="28"/>
          <w:lang w:eastAsia="ru-RU"/>
        </w:rPr>
        <w:t>10. </w:t>
      </w:r>
      <w:r w:rsidRPr="00732784">
        <w:rPr>
          <w:rFonts w:ascii="Times New Roman" w:eastAsia="Times New Roman" w:hAnsi="Times New Roman" w:cs="Times New Roman"/>
          <w:sz w:val="28"/>
          <w:szCs w:val="28"/>
          <w:lang w:eastAsia="ru-RU"/>
        </w:rPr>
        <w:t xml:space="preserve">В целях исключения дискриминации "военных пенсионеров" по отношению к другим пенсионерам, а также исполнения Закона № 4468-I и Указа № 604 Комитет по обороне настаивает на доведении индексации "военной пенсии" с 3% до 5% (с 1 октября 2020 года на 3% за счет увеличения денежного довольствия военнослужащих (на размер инфляции) как и заложено в законопроекте и на 2% с 1 января (на основании статьи 49 Закона № 4468-I) за счет изменения "понижающего коэффициента" увеличив его до 75,16 %  в целях выполнения Указа № 604). Увеличение бюджетных ассигнований в части пенсионного обеспечения военнослужащих, членов их семей и лиц, приравненных к ним по </w:t>
      </w:r>
      <w:proofErr w:type="gramStart"/>
      <w:r w:rsidRPr="00732784">
        <w:rPr>
          <w:rFonts w:ascii="Times New Roman" w:eastAsia="Times New Roman" w:hAnsi="Times New Roman" w:cs="Times New Roman"/>
          <w:sz w:val="28"/>
          <w:szCs w:val="28"/>
          <w:lang w:eastAsia="ru-RU"/>
        </w:rPr>
        <w:t>пенсионному обеспечению</w:t>
      </w:r>
      <w:proofErr w:type="gramEnd"/>
      <w:r w:rsidRPr="00732784">
        <w:rPr>
          <w:rFonts w:ascii="Times New Roman" w:eastAsia="Times New Roman" w:hAnsi="Times New Roman" w:cs="Times New Roman"/>
          <w:sz w:val="28"/>
          <w:szCs w:val="28"/>
          <w:lang w:eastAsia="ru-RU"/>
        </w:rPr>
        <w:t xml:space="preserve"> предлагается на 2020 год произвести при внесении изменений в федеральный бюджет 2020 года, а на 2021 и 2022 годы при формировании проекта федерального бюджета на 2021 год и плановый период 2022 и 2023 годы. </w:t>
      </w:r>
    </w:p>
    <w:p w:rsidR="00572055" w:rsidRDefault="00572055"/>
    <w:sectPr w:rsidR="005720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784"/>
    <w:rsid w:val="0007119A"/>
    <w:rsid w:val="00306F15"/>
    <w:rsid w:val="00572055"/>
    <w:rsid w:val="00732784"/>
    <w:rsid w:val="00E94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1B40"/>
  <w15:chartTrackingRefBased/>
  <w15:docId w15:val="{2E13EAA4-A862-4997-A709-FE1FE2CAE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locked/>
    <w:rsid w:val="00732784"/>
    <w:rPr>
      <w:sz w:val="28"/>
      <w:szCs w:val="28"/>
      <w:shd w:val="clear" w:color="auto" w:fill="FFFFFF"/>
      <w:lang w:eastAsia="ru-RU"/>
    </w:rPr>
  </w:style>
  <w:style w:type="paragraph" w:customStyle="1" w:styleId="1">
    <w:name w:val="Основной текст1"/>
    <w:basedOn w:val="a"/>
    <w:link w:val="a3"/>
    <w:rsid w:val="00732784"/>
    <w:pPr>
      <w:widowControl w:val="0"/>
      <w:shd w:val="clear" w:color="auto" w:fill="FFFFFF"/>
      <w:spacing w:after="0" w:line="360" w:lineRule="auto"/>
      <w:ind w:firstLine="400"/>
      <w:jc w:val="both"/>
    </w:pPr>
    <w:rPr>
      <w:sz w:val="28"/>
      <w:szCs w:val="28"/>
      <w:lang w:eastAsia="ru-RU"/>
    </w:rPr>
  </w:style>
  <w:style w:type="paragraph" w:styleId="a4">
    <w:name w:val="Body Text Indent"/>
    <w:basedOn w:val="a"/>
    <w:link w:val="a5"/>
    <w:rsid w:val="0007119A"/>
    <w:pPr>
      <w:spacing w:after="0" w:line="360" w:lineRule="auto"/>
      <w:ind w:firstLine="708"/>
      <w:jc w:val="both"/>
    </w:pPr>
    <w:rPr>
      <w:rFonts w:ascii="Times New Roman" w:eastAsia="Times New Roman" w:hAnsi="Times New Roman" w:cs="Times New Roman"/>
      <w:sz w:val="26"/>
      <w:szCs w:val="24"/>
      <w:lang w:eastAsia="ru-RU"/>
    </w:rPr>
  </w:style>
  <w:style w:type="character" w:customStyle="1" w:styleId="a5">
    <w:name w:val="Основной текст с отступом Знак"/>
    <w:basedOn w:val="a0"/>
    <w:link w:val="a4"/>
    <w:rsid w:val="0007119A"/>
    <w:rPr>
      <w:rFonts w:ascii="Times New Roman" w:eastAsia="Times New Roman" w:hAnsi="Times New Roman" w:cs="Times New Roman"/>
      <w:sz w:val="26"/>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6ABC0A3D6BB558E48DFE33CC0AA7E466BE2F88F3DBEBEBE633CB81D213D6146165F724BCA49EA91C6795E1DEDAE06822C00E518850q7W6Q" TargetMode="Externa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t>Рост пенсий </a:t>
            </a:r>
          </a:p>
        </c:rich>
      </c:tx>
      <c:layout>
        <c:manualLayout>
          <c:xMode val="edge"/>
          <c:yMode val="edge"/>
          <c:x val="0.26282371198560989"/>
          <c:y val="3.361499373821417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29296193720979857"/>
          <c:y val="0.15332179526348924"/>
          <c:w val="0.69024098733297712"/>
          <c:h val="0.65322400520312562"/>
        </c:manualLayout>
      </c:layout>
      <c:bar3DChart>
        <c:barDir val="col"/>
        <c:grouping val="clustered"/>
        <c:varyColors val="0"/>
        <c:ser>
          <c:idx val="0"/>
          <c:order val="0"/>
          <c:tx>
            <c:strRef>
              <c:f>Лист1!$B$1</c:f>
              <c:strCache>
                <c:ptCount val="1"/>
                <c:pt idx="0">
                  <c:v>Трудовая пенсия</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Лист1!$B$2:$B$9</c:f>
              <c:numCache>
                <c:formatCode>#,000%</c:formatCode>
                <c:ptCount val="8"/>
                <c:pt idx="0">
                  <c:v>0.1012</c:v>
                </c:pt>
                <c:pt idx="1">
                  <c:v>8.3099999999999993E-2</c:v>
                </c:pt>
                <c:pt idx="2">
                  <c:v>0.114</c:v>
                </c:pt>
                <c:pt idx="3">
                  <c:v>0.04</c:v>
                </c:pt>
                <c:pt idx="4">
                  <c:v>5.8000000000000003E-2</c:v>
                </c:pt>
                <c:pt idx="5">
                  <c:v>3.6999999999999998E-2</c:v>
                </c:pt>
                <c:pt idx="6">
                  <c:v>7.4999999999999997E-2</c:v>
                </c:pt>
                <c:pt idx="7">
                  <c:v>6.6000000000000003E-2</c:v>
                </c:pt>
              </c:numCache>
            </c:numRef>
          </c:val>
          <c:extLst>
            <c:ext xmlns:c16="http://schemas.microsoft.com/office/drawing/2014/chart" uri="{C3380CC4-5D6E-409C-BE32-E72D297353CC}">
              <c16:uniqueId val="{00000000-FE01-4517-8318-0C51166F7DF6}"/>
            </c:ext>
          </c:extLst>
        </c:ser>
        <c:ser>
          <c:idx val="1"/>
          <c:order val="1"/>
          <c:tx>
            <c:strRef>
              <c:f>Лист1!$C$1</c:f>
              <c:strCache>
                <c:ptCount val="1"/>
                <c:pt idx="0">
                  <c:v>Военная пенсия</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Лист1!$C$2:$C$9</c:f>
              <c:numCache>
                <c:formatCode>#,000%</c:formatCode>
                <c:ptCount val="8"/>
                <c:pt idx="0">
                  <c:v>8.3000000000000004E-2</c:v>
                </c:pt>
                <c:pt idx="1">
                  <c:v>6.1899999999999997E-2</c:v>
                </c:pt>
                <c:pt idx="2">
                  <c:v>7.4999999999999997E-2</c:v>
                </c:pt>
                <c:pt idx="3">
                  <c:v>0.04</c:v>
                </c:pt>
                <c:pt idx="4">
                  <c:v>0.04</c:v>
                </c:pt>
                <c:pt idx="5">
                  <c:v>0.04</c:v>
                </c:pt>
                <c:pt idx="6">
                  <c:v>6.3E-2</c:v>
                </c:pt>
                <c:pt idx="7">
                  <c:v>0.03</c:v>
                </c:pt>
              </c:numCache>
            </c:numRef>
          </c:val>
          <c:extLst>
            <c:ext xmlns:c16="http://schemas.microsoft.com/office/drawing/2014/chart" uri="{C3380CC4-5D6E-409C-BE32-E72D297353CC}">
              <c16:uniqueId val="{00000001-FE01-4517-8318-0C51166F7DF6}"/>
            </c:ext>
          </c:extLst>
        </c:ser>
        <c:ser>
          <c:idx val="2"/>
          <c:order val="2"/>
          <c:tx>
            <c:strRef>
              <c:f>Лист1!$D$1</c:f>
              <c:strCache>
                <c:ptCount val="1"/>
                <c:pt idx="0">
                  <c:v>инфляция</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Лист1!$D$2:$D$9</c:f>
              <c:numCache>
                <c:formatCode>#,000%</c:formatCode>
                <c:ptCount val="8"/>
                <c:pt idx="0">
                  <c:v>6.5000000000000002E-2</c:v>
                </c:pt>
                <c:pt idx="1">
                  <c:v>0.11360000000000001</c:v>
                </c:pt>
                <c:pt idx="2">
                  <c:v>0.129</c:v>
                </c:pt>
                <c:pt idx="3">
                  <c:v>5.3999999999999999E-2</c:v>
                </c:pt>
                <c:pt idx="4">
                  <c:v>2.8000000000000001E-2</c:v>
                </c:pt>
                <c:pt idx="5">
                  <c:v>3.7999999999999999E-2</c:v>
                </c:pt>
                <c:pt idx="6">
                  <c:v>4.2999999999999997E-2</c:v>
                </c:pt>
                <c:pt idx="7">
                  <c:v>0.03</c:v>
                </c:pt>
              </c:numCache>
            </c:numRef>
          </c:val>
          <c:extLst>
            <c:ext xmlns:c16="http://schemas.microsoft.com/office/drawing/2014/chart" uri="{C3380CC4-5D6E-409C-BE32-E72D297353CC}">
              <c16:uniqueId val="{00000002-FE01-4517-8318-0C51166F7DF6}"/>
            </c:ext>
          </c:extLst>
        </c:ser>
        <c:dLbls>
          <c:showLegendKey val="0"/>
          <c:showVal val="0"/>
          <c:showCatName val="0"/>
          <c:showSerName val="0"/>
          <c:showPercent val="0"/>
          <c:showBubbleSize val="0"/>
        </c:dLbls>
        <c:gapWidth val="68"/>
        <c:gapDepth val="144"/>
        <c:shape val="cylinder"/>
        <c:axId val="82299904"/>
        <c:axId val="1"/>
        <c:axId val="0"/>
      </c:bar3DChart>
      <c:catAx>
        <c:axId val="82299904"/>
        <c:scaling>
          <c:orientation val="minMax"/>
        </c:scaling>
        <c:delete val="0"/>
        <c:axPos val="b"/>
        <c:numFmt formatCode="0" sourceLinked="1"/>
        <c:majorTickMark val="none"/>
        <c:minorTickMark val="none"/>
        <c:tickLblPos val="nextTo"/>
        <c:crossAx val="1"/>
        <c:crosses val="autoZero"/>
        <c:auto val="1"/>
        <c:lblAlgn val="ctr"/>
        <c:lblOffset val="100"/>
        <c:noMultiLvlLbl val="0"/>
      </c:catAx>
      <c:valAx>
        <c:axId val="1"/>
        <c:scaling>
          <c:orientation val="minMax"/>
        </c:scaling>
        <c:delete val="0"/>
        <c:axPos val="l"/>
        <c:majorGridlines/>
        <c:numFmt formatCode="#,000%" sourceLinked="1"/>
        <c:majorTickMark val="none"/>
        <c:minorTickMark val="none"/>
        <c:tickLblPos val="nextTo"/>
        <c:crossAx val="82299904"/>
        <c:crosses val="autoZero"/>
        <c:crossBetween val="between"/>
      </c:valAx>
      <c:dTable>
        <c:showHorzBorder val="1"/>
        <c:showVertBorder val="1"/>
        <c:showOutline val="1"/>
        <c:showKeys val="1"/>
      </c:dTable>
      <c:spPr>
        <a:noFill/>
        <a:ln w="25442">
          <a:noFill/>
        </a:ln>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36155235315476925"/>
          <c:y val="3.3485168314631705E-2"/>
          <c:w val="0.69024098733297712"/>
          <c:h val="0.70865419715269728"/>
        </c:manualLayout>
      </c:layout>
      <c:bar3DChart>
        <c:barDir val="col"/>
        <c:grouping val="clustered"/>
        <c:varyColors val="0"/>
        <c:ser>
          <c:idx val="0"/>
          <c:order val="0"/>
          <c:tx>
            <c:strRef>
              <c:f>Лист1!$B$1</c:f>
              <c:strCache>
                <c:ptCount val="1"/>
                <c:pt idx="0">
                  <c:v>Повышение военной пенсии</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Лист1!$B$2:$B$9</c:f>
              <c:numCache>
                <c:formatCode>#,000%</c:formatCode>
                <c:ptCount val="8"/>
                <c:pt idx="0">
                  <c:v>8.3299999999999999E-2</c:v>
                </c:pt>
                <c:pt idx="1">
                  <c:v>6.1899999999999997E-2</c:v>
                </c:pt>
                <c:pt idx="2">
                  <c:v>7.4999999999999997E-2</c:v>
                </c:pt>
                <c:pt idx="3">
                  <c:v>0.04</c:v>
                </c:pt>
                <c:pt idx="4">
                  <c:v>0.04</c:v>
                </c:pt>
                <c:pt idx="5">
                  <c:v>0.04</c:v>
                </c:pt>
                <c:pt idx="6">
                  <c:v>6.3E-2</c:v>
                </c:pt>
                <c:pt idx="7">
                  <c:v>0.03</c:v>
                </c:pt>
              </c:numCache>
            </c:numRef>
          </c:val>
          <c:extLst>
            <c:ext xmlns:c16="http://schemas.microsoft.com/office/drawing/2014/chart" uri="{C3380CC4-5D6E-409C-BE32-E72D297353CC}">
              <c16:uniqueId val="{00000000-4E03-408A-B8D0-42FE3777FD69}"/>
            </c:ext>
          </c:extLst>
        </c:ser>
        <c:ser>
          <c:idx val="1"/>
          <c:order val="1"/>
          <c:tx>
            <c:strRef>
              <c:f>Лист1!$C$1</c:f>
              <c:strCache>
                <c:ptCount val="1"/>
                <c:pt idx="0">
                  <c:v>недоиндексация</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Лист1!$C$2:$C$9</c:f>
              <c:numCache>
                <c:formatCode>#,000%</c:formatCode>
                <c:ptCount val="8"/>
                <c:pt idx="0">
                  <c:v>1.1999999999999999E-3</c:v>
                </c:pt>
                <c:pt idx="1">
                  <c:v>7.17E-2</c:v>
                </c:pt>
                <c:pt idx="2">
                  <c:v>7.3999999999999996E-2</c:v>
                </c:pt>
                <c:pt idx="3">
                  <c:v>3.4000000000000002E-2</c:v>
                </c:pt>
                <c:pt idx="4">
                  <c:v>8.0000000000000002E-3</c:v>
                </c:pt>
                <c:pt idx="5">
                  <c:v>1.7999999999999999E-2</c:v>
                </c:pt>
                <c:pt idx="6">
                  <c:v>0</c:v>
                </c:pt>
                <c:pt idx="7">
                  <c:v>0.02</c:v>
                </c:pt>
              </c:numCache>
            </c:numRef>
          </c:val>
          <c:extLst>
            <c:ext xmlns:c16="http://schemas.microsoft.com/office/drawing/2014/chart" uri="{C3380CC4-5D6E-409C-BE32-E72D297353CC}">
              <c16:uniqueId val="{00000001-4E03-408A-B8D0-42FE3777FD69}"/>
            </c:ext>
          </c:extLst>
        </c:ser>
        <c:ser>
          <c:idx val="2"/>
          <c:order val="2"/>
          <c:tx>
            <c:strRef>
              <c:f>Лист1!$D$1</c:f>
              <c:strCache>
                <c:ptCount val="1"/>
                <c:pt idx="0">
                  <c:v>Должно быть по Указу Президента РФ 2012 №604</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Лист1!$D$2:$D$9</c:f>
              <c:numCache>
                <c:formatCode>#,000%</c:formatCode>
                <c:ptCount val="8"/>
                <c:pt idx="0">
                  <c:v>8.4500000000000006E-2</c:v>
                </c:pt>
                <c:pt idx="1">
                  <c:v>0.1336</c:v>
                </c:pt>
                <c:pt idx="2">
                  <c:v>0.14899999999999999</c:v>
                </c:pt>
                <c:pt idx="3">
                  <c:v>7.3999999999999996E-2</c:v>
                </c:pt>
                <c:pt idx="4">
                  <c:v>4.8000000000000001E-2</c:v>
                </c:pt>
                <c:pt idx="5">
                  <c:v>5.8000000000000003E-2</c:v>
                </c:pt>
                <c:pt idx="6">
                  <c:v>6.3E-2</c:v>
                </c:pt>
                <c:pt idx="7">
                  <c:v>0.05</c:v>
                </c:pt>
              </c:numCache>
            </c:numRef>
          </c:val>
          <c:extLst>
            <c:ext xmlns:c16="http://schemas.microsoft.com/office/drawing/2014/chart" uri="{C3380CC4-5D6E-409C-BE32-E72D297353CC}">
              <c16:uniqueId val="{00000002-4E03-408A-B8D0-42FE3777FD69}"/>
            </c:ext>
          </c:extLst>
        </c:ser>
        <c:ser>
          <c:idx val="3"/>
          <c:order val="3"/>
          <c:tx>
            <c:strRef>
              <c:f>Лист1!$E$1</c:f>
              <c:strCache>
                <c:ptCount val="1"/>
                <c:pt idx="0">
                  <c:v>Инфляция</c:v>
                </c:pt>
              </c:strCache>
            </c:strRef>
          </c:tx>
          <c:invertIfNegative val="0"/>
          <c:cat>
            <c:numRef>
              <c:f>Лист1!$A$2:$A$9</c:f>
              <c:numCache>
                <c:formatCode>0</c:formatCode>
                <c:ptCount val="8"/>
                <c:pt idx="0">
                  <c:v>2013</c:v>
                </c:pt>
                <c:pt idx="1">
                  <c:v>2014</c:v>
                </c:pt>
                <c:pt idx="2">
                  <c:v>2015</c:v>
                </c:pt>
                <c:pt idx="3">
                  <c:v>2016</c:v>
                </c:pt>
                <c:pt idx="4">
                  <c:v>2017</c:v>
                </c:pt>
                <c:pt idx="5">
                  <c:v>2018</c:v>
                </c:pt>
                <c:pt idx="6">
                  <c:v>2019</c:v>
                </c:pt>
                <c:pt idx="7">
                  <c:v>2020</c:v>
                </c:pt>
              </c:numCache>
            </c:numRef>
          </c:cat>
          <c:val>
            <c:numRef>
              <c:f>Лист1!$E$2:$E$9</c:f>
              <c:numCache>
                <c:formatCode>#,000%</c:formatCode>
                <c:ptCount val="8"/>
                <c:pt idx="0">
                  <c:v>6.4500000000000002E-2</c:v>
                </c:pt>
                <c:pt idx="1">
                  <c:v>0.11360000000000001</c:v>
                </c:pt>
                <c:pt idx="2">
                  <c:v>0.129</c:v>
                </c:pt>
                <c:pt idx="3">
                  <c:v>5.3999999999999999E-2</c:v>
                </c:pt>
                <c:pt idx="4">
                  <c:v>2.8000000000000001E-2</c:v>
                </c:pt>
                <c:pt idx="5">
                  <c:v>3.7999999999999999E-2</c:v>
                </c:pt>
                <c:pt idx="6">
                  <c:v>4.2999999999999997E-2</c:v>
                </c:pt>
                <c:pt idx="7">
                  <c:v>0.03</c:v>
                </c:pt>
              </c:numCache>
            </c:numRef>
          </c:val>
          <c:extLst>
            <c:ext xmlns:c16="http://schemas.microsoft.com/office/drawing/2014/chart" uri="{C3380CC4-5D6E-409C-BE32-E72D297353CC}">
              <c16:uniqueId val="{00000003-4E03-408A-B8D0-42FE3777FD69}"/>
            </c:ext>
          </c:extLst>
        </c:ser>
        <c:dLbls>
          <c:showLegendKey val="0"/>
          <c:showVal val="0"/>
          <c:showCatName val="0"/>
          <c:showSerName val="0"/>
          <c:showPercent val="0"/>
          <c:showBubbleSize val="0"/>
        </c:dLbls>
        <c:gapWidth val="68"/>
        <c:gapDepth val="144"/>
        <c:shape val="cylinder"/>
        <c:axId val="184619328"/>
        <c:axId val="1"/>
        <c:axId val="0"/>
      </c:bar3DChart>
      <c:catAx>
        <c:axId val="184619328"/>
        <c:scaling>
          <c:orientation val="minMax"/>
        </c:scaling>
        <c:delete val="0"/>
        <c:axPos val="b"/>
        <c:numFmt formatCode="0" sourceLinked="1"/>
        <c:majorTickMark val="none"/>
        <c:minorTickMark val="none"/>
        <c:tickLblPos val="nextTo"/>
        <c:txPr>
          <a:bodyPr rot="0" vert="horz"/>
          <a:lstStyle/>
          <a:p>
            <a:pPr>
              <a:defRPr sz="1002" b="0" i="0" u="none" strike="noStrike" baseline="0">
                <a:solidFill>
                  <a:srgbClr val="000000"/>
                </a:solidFill>
                <a:latin typeface="Calibri"/>
                <a:ea typeface="Calibri"/>
                <a:cs typeface="Calibri"/>
              </a:defRPr>
            </a:pPr>
            <a:endParaRPr lang="ru-RU"/>
          </a:p>
        </c:txPr>
        <c:crossAx val="1"/>
        <c:crosses val="autoZero"/>
        <c:auto val="1"/>
        <c:lblAlgn val="ctr"/>
        <c:lblOffset val="100"/>
        <c:noMultiLvlLbl val="0"/>
      </c:catAx>
      <c:valAx>
        <c:axId val="1"/>
        <c:scaling>
          <c:orientation val="minMax"/>
        </c:scaling>
        <c:delete val="0"/>
        <c:axPos val="l"/>
        <c:majorGridlines/>
        <c:numFmt formatCode="#,000%" sourceLinked="1"/>
        <c:majorTickMark val="none"/>
        <c:minorTickMark val="none"/>
        <c:tickLblPos val="nextTo"/>
        <c:txPr>
          <a:bodyPr rot="0" vert="horz"/>
          <a:lstStyle/>
          <a:p>
            <a:pPr>
              <a:defRPr sz="1002" b="0" i="0" u="none" strike="noStrike" baseline="0">
                <a:solidFill>
                  <a:srgbClr val="000000"/>
                </a:solidFill>
                <a:latin typeface="Calibri"/>
                <a:ea typeface="Calibri"/>
                <a:cs typeface="Calibri"/>
              </a:defRPr>
            </a:pPr>
            <a:endParaRPr lang="ru-RU"/>
          </a:p>
        </c:txPr>
        <c:crossAx val="184619328"/>
        <c:crosses val="autoZero"/>
        <c:crossBetween val="between"/>
      </c:valAx>
      <c:dTable>
        <c:showHorzBorder val="1"/>
        <c:showVertBorder val="1"/>
        <c:showOutline val="1"/>
        <c:showKeys val="1"/>
        <c:txPr>
          <a:bodyPr/>
          <a:lstStyle/>
          <a:p>
            <a:pPr rtl="0">
              <a:defRPr sz="1002" b="0" i="0" u="none" strike="noStrike" baseline="0">
                <a:solidFill>
                  <a:srgbClr val="000000"/>
                </a:solidFill>
                <a:latin typeface="Calibri"/>
                <a:ea typeface="Calibri"/>
                <a:cs typeface="Calibri"/>
              </a:defRPr>
            </a:pPr>
            <a:endParaRPr lang="ru-RU"/>
          </a:p>
        </c:txPr>
      </c:dTable>
      <c:spPr>
        <a:noFill/>
        <a:ln w="25443">
          <a:noFill/>
        </a:ln>
      </c:spPr>
    </c:plotArea>
    <c:plotVisOnly val="1"/>
    <c:dispBlanksAs val="gap"/>
    <c:showDLblsOverMax val="0"/>
  </c:chart>
  <c:txPr>
    <a:bodyPr/>
    <a:lstStyle/>
    <a:p>
      <a:pPr>
        <a:defRPr sz="1002" b="0"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0EB54-C071-4165-AA45-A7E08D2B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4322</Words>
  <Characters>24641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2019-10-13T12:15:00Z</dcterms:created>
  <dcterms:modified xsi:type="dcterms:W3CDTF">2019-10-13T12:15:00Z</dcterms:modified>
</cp:coreProperties>
</file>