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56F" w:rsidRDefault="00203E3B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645795</wp:posOffset>
                </wp:positionH>
                <wp:positionV relativeFrom="page">
                  <wp:posOffset>3503295</wp:posOffset>
                </wp:positionV>
                <wp:extent cx="268605" cy="0"/>
                <wp:effectExtent l="7620" t="7620" r="9525" b="1143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6860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F7D4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50.85pt;margin-top:275.85pt;width:21.15pt;height:0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" filled="t" strokeweight=".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1057275</wp:posOffset>
                </wp:positionH>
                <wp:positionV relativeFrom="page">
                  <wp:posOffset>3503295</wp:posOffset>
                </wp:positionV>
                <wp:extent cx="1432560" cy="0"/>
                <wp:effectExtent l="9525" t="7620" r="5715" b="1143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143256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1300C" id="AutoShape 6" o:spid="_x0000_s1026" type="#_x0000_t32" style="position:absolute;margin-left:83.25pt;margin-top:275.85pt;width:112.8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" filled="t" strokeweight=".2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2715895</wp:posOffset>
                </wp:positionH>
                <wp:positionV relativeFrom="page">
                  <wp:posOffset>3503295</wp:posOffset>
                </wp:positionV>
                <wp:extent cx="231140" cy="0"/>
                <wp:effectExtent l="10795" t="7620" r="5715" b="1143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3114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C7B1F" id="AutoShape 5" o:spid="_x0000_s1026" type="#_x0000_t32" style="position:absolute;margin-left:213.85pt;margin-top:275.85pt;width:18.2pt;height:0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" filled="t" strokeweight=".25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CA656F" w:rsidRDefault="00203E3B">
      <w:pPr>
        <w:framePr w:wrap="none" w:vAnchor="page" w:hAnchor="page" w:x="2310" w:y="98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52475" cy="885825"/>
            <wp:effectExtent l="0" t="0" r="9525" b="9525"/>
            <wp:docPr id="1" name="Рисунок 1" descr="C:\Users\user\AppData\Local\Temp\FineReader11.0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56F" w:rsidRDefault="00C85042">
      <w:pPr>
        <w:pStyle w:val="a5"/>
        <w:framePr w:w="2621" w:h="445" w:hRule="exact" w:wrap="around" w:vAnchor="page" w:hAnchor="page" w:x="1585" w:y="2458"/>
        <w:shd w:val="clear" w:color="auto" w:fill="auto"/>
      </w:pPr>
      <w:r>
        <w:t>АДМИНИСТРАЦИЯ ПРЕЗИДЕНТА РОССИЙСКОЙ ФЕДЕРАЦИИ</w:t>
      </w:r>
    </w:p>
    <w:p w:rsidR="00CA656F" w:rsidRDefault="00C85042">
      <w:pPr>
        <w:pStyle w:val="20"/>
        <w:framePr w:w="4718" w:h="1080" w:hRule="exact" w:wrap="around" w:vAnchor="page" w:hAnchor="page" w:x="596" w:y="3041"/>
        <w:shd w:val="clear" w:color="auto" w:fill="auto"/>
        <w:spacing w:before="0" w:after="0"/>
      </w:pPr>
      <w:r>
        <w:t>УПРАВЛЕНИЕ ПРЕЗИДЕНТА РОССИЙСКОЙ ФЕДЕРАЦИИ ПО РАБОТЕ С ОБРАЩЕНИЯМИ ГРАЖДАН И ОРГАНИЗАЦИЙ</w:t>
      </w:r>
    </w:p>
    <w:p w:rsidR="00CA656F" w:rsidRDefault="00C85042">
      <w:pPr>
        <w:pStyle w:val="30"/>
        <w:framePr w:w="4718" w:h="194" w:hRule="exact" w:wrap="around" w:vAnchor="page" w:hAnchor="page" w:x="596" w:y="4493"/>
        <w:shd w:val="clear" w:color="auto" w:fill="auto"/>
        <w:spacing w:before="0" w:line="140" w:lineRule="exact"/>
      </w:pPr>
      <w:r>
        <w:t>ул. Ильинка, д. 23, Москва, Российская Федерация, 103132</w:t>
      </w:r>
    </w:p>
    <w:p w:rsidR="00CA656F" w:rsidRDefault="00C85042">
      <w:pPr>
        <w:pStyle w:val="40"/>
        <w:framePr w:wrap="around" w:vAnchor="page" w:hAnchor="page" w:x="745" w:y="5215"/>
        <w:shd w:val="clear" w:color="auto" w:fill="auto"/>
        <w:spacing w:line="240" w:lineRule="exact"/>
      </w:pPr>
      <w:r>
        <w:t>« 14 »</w:t>
      </w:r>
    </w:p>
    <w:p w:rsidR="00CA656F" w:rsidRDefault="00C85042">
      <w:pPr>
        <w:pStyle w:val="10"/>
        <w:framePr w:wrap="around" w:vAnchor="page" w:hAnchor="page" w:x="2410" w:y="5196"/>
        <w:shd w:val="clear" w:color="auto" w:fill="auto"/>
        <w:spacing w:line="240" w:lineRule="exact"/>
      </w:pPr>
      <w:bookmarkStart w:id="1" w:name="bookmark0"/>
      <w:r>
        <w:rPr>
          <w:rStyle w:val="11"/>
        </w:rPr>
        <w:t>ноября 2</w:t>
      </w:r>
      <w:r>
        <w:t xml:space="preserve">0 </w:t>
      </w:r>
      <w:r>
        <w:rPr>
          <w:rStyle w:val="11"/>
        </w:rPr>
        <w:t>19</w:t>
      </w:r>
      <w:r>
        <w:t xml:space="preserve"> г.</w:t>
      </w:r>
      <w:bookmarkEnd w:id="1"/>
    </w:p>
    <w:p w:rsidR="00CA656F" w:rsidRDefault="00C85042">
      <w:pPr>
        <w:pStyle w:val="10"/>
        <w:framePr w:wrap="around" w:vAnchor="page" w:hAnchor="page" w:x="1047" w:y="5791"/>
        <w:shd w:val="clear" w:color="auto" w:fill="auto"/>
        <w:spacing w:line="240" w:lineRule="exact"/>
      </w:pPr>
      <w:bookmarkStart w:id="2" w:name="bookmark1"/>
      <w:r>
        <w:t>№ А26-08-100565591</w:t>
      </w:r>
      <w:bookmarkEnd w:id="2"/>
    </w:p>
    <w:p w:rsidR="00CA656F" w:rsidRDefault="00C85042">
      <w:pPr>
        <w:pStyle w:val="20"/>
        <w:framePr w:w="1766" w:h="1070" w:hRule="exact" w:wrap="around" w:vAnchor="page" w:hAnchor="page" w:x="6438" w:y="3273"/>
        <w:shd w:val="clear" w:color="auto" w:fill="auto"/>
        <w:spacing w:before="0" w:after="0" w:line="509" w:lineRule="exact"/>
        <w:ind w:left="100"/>
        <w:jc w:val="both"/>
      </w:pPr>
      <w:r>
        <w:t xml:space="preserve">НАСИБУЛА Я.Л. </w:t>
      </w:r>
      <w:hyperlink r:id="rId7" w:history="1">
        <w:r>
          <w:rPr>
            <w:rStyle w:val="a3"/>
            <w:lang w:val="en-US" w:eastAsia="en-US" w:bidi="en-US"/>
          </w:rPr>
          <w:t>nasibula@mail.ru</w:t>
        </w:r>
      </w:hyperlink>
    </w:p>
    <w:p w:rsidR="00CA656F" w:rsidRDefault="00203E3B">
      <w:pPr>
        <w:framePr w:wrap="none" w:vAnchor="page" w:hAnchor="page" w:x="7628" w:y="484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800225" cy="390525"/>
            <wp:effectExtent l="0" t="0" r="9525" b="9525"/>
            <wp:docPr id="2" name="Рисунок 2" descr="C:\Users\user\AppData\Local\Temp\FineReader11.00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56F" w:rsidRDefault="00C85042">
      <w:pPr>
        <w:pStyle w:val="22"/>
        <w:framePr w:wrap="around" w:vAnchor="page" w:hAnchor="page" w:x="10647" w:y="4965"/>
        <w:shd w:val="clear" w:color="auto" w:fill="auto"/>
        <w:spacing w:line="180" w:lineRule="exact"/>
      </w:pPr>
      <w:r>
        <w:t>1005655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right="20" w:firstLine="720"/>
      </w:pPr>
      <w:r>
        <w:t>Ваше обращение, поступившее на имя Президента Российской Федерации 20.09.2019 г. в форме электронного документа и зарегистрированное</w:t>
      </w:r>
      <w:r>
        <w:t xml:space="preserve"> 20.09.2019 г. за № 1005655, рассмотрено.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right="20" w:firstLine="720"/>
      </w:pPr>
      <w:r>
        <w:t>В целях рассмотрения Вашего обращения в Министерство финансов Российской Федерации были запрошены необходимые документы и материалы.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firstLine="720"/>
      </w:pPr>
      <w:r>
        <w:t>На основании полученной информации сообщаем следующее: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right="20" w:firstLine="720"/>
      </w:pPr>
      <w:r>
        <w:t>«Законом Российской Федера</w:t>
      </w:r>
      <w:r>
        <w:t>ции от 12 февраля 1993 г. № 4468-1 «О пенсионном обеспечении лиц, проходив</w:t>
      </w:r>
      <w:r>
        <w:rPr>
          <w:rStyle w:val="12"/>
        </w:rPr>
        <w:t>ши</w:t>
      </w:r>
      <w:r>
        <w:t>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</w:t>
      </w:r>
      <w:r>
        <w:t xml:space="preserve"> и органах уголовно-исполнительной системы, Федеральной службе войск национальной гвардии Российской Федерации, и их семей» установлен порядок исчисления пенсий, выплачиваемых гражданам, уволенным с военной и приравненной к ней службы (далее - Закон № 4468</w:t>
      </w:r>
      <w:r>
        <w:t>-1 ).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right="20" w:firstLine="720"/>
      </w:pPr>
      <w:r>
        <w:t>При этом Законом № 4468-1 предусмотрена возможность дополнительного ежегодного увеличения пенсий «военных» пенсионеров.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right="20" w:firstLine="720"/>
      </w:pPr>
      <w:r>
        <w:t xml:space="preserve">В соответствии с частью второй статьи 43 Закона № 4468-1 денежное довольствие, указанное в части 1 данной статьи, учитывается при </w:t>
      </w:r>
      <w:r>
        <w:t>исчислении пенсии с 1 января 2012 года в размере 54 процентов и, начиная с 1 января 2013 года, ежегодно увеличивается на 2 процента до достижения 100 процентов его размера. С учетом уровня инфл</w:t>
      </w:r>
      <w:r>
        <w:rPr>
          <w:rStyle w:val="12"/>
        </w:rPr>
        <w:t>яци</w:t>
      </w:r>
      <w:r>
        <w:t>и (потребительских цен) федеральным законом о федеральном бю</w:t>
      </w:r>
      <w:r>
        <w:t>джете на очередной финансовый год и плановый период указанное ежегодное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right="20" w:firstLine="720"/>
      </w:pPr>
      <w:r>
        <w:t>увеличение может быть установлено на очередной финансовый год в размере, превышающем 2 процента.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right="20" w:firstLine="720"/>
      </w:pPr>
      <w:r>
        <w:t>Таким образом, при безусловном исполнении Закона № 4468-1 размер денежного довольствия,</w:t>
      </w:r>
      <w:r>
        <w:t xml:space="preserve"> учитываемого для исчисления пенсии, к 1 января 2020 года должен был достигнуть уровня 70 процентов.</w:t>
      </w:r>
    </w:p>
    <w:p w:rsidR="00CA656F" w:rsidRDefault="00C85042">
      <w:pPr>
        <w:pStyle w:val="23"/>
        <w:framePr w:w="9792" w:h="9018" w:hRule="exact" w:wrap="around" w:vAnchor="page" w:hAnchor="page" w:x="1047" w:y="6820"/>
        <w:shd w:val="clear" w:color="auto" w:fill="auto"/>
        <w:spacing w:before="0"/>
        <w:ind w:left="440" w:right="20" w:firstLine="720"/>
      </w:pPr>
      <w:r>
        <w:t>Когда индексация денежного довольствия приостанавливается, применяется повышенный размер увеличения денежного довольствия, учитываемого при</w:t>
      </w:r>
    </w:p>
    <w:p w:rsidR="00CA656F" w:rsidRDefault="00C85042">
      <w:pPr>
        <w:pStyle w:val="a8"/>
        <w:framePr w:wrap="around" w:vAnchor="page" w:hAnchor="page" w:x="1460" w:y="16279"/>
        <w:shd w:val="clear" w:color="auto" w:fill="auto"/>
        <w:spacing w:line="100" w:lineRule="exact"/>
        <w:ind w:left="20"/>
      </w:pPr>
      <w:r>
        <w:t>1005655</w:t>
      </w:r>
    </w:p>
    <w:p w:rsidR="00CA656F" w:rsidRDefault="00C85042">
      <w:pPr>
        <w:pStyle w:val="a8"/>
        <w:framePr w:wrap="around" w:vAnchor="page" w:hAnchor="page" w:x="9908" w:y="16279"/>
        <w:shd w:val="clear" w:color="auto" w:fill="auto"/>
        <w:spacing w:line="100" w:lineRule="exact"/>
        <w:ind w:left="20"/>
      </w:pPr>
      <w:r>
        <w:t>Страница 1 из 2</w:t>
      </w:r>
    </w:p>
    <w:p w:rsidR="00CA656F" w:rsidRDefault="00CA656F">
      <w:pPr>
        <w:rPr>
          <w:sz w:val="2"/>
          <w:szCs w:val="2"/>
        </w:rPr>
        <w:sectPr w:rsidR="00CA656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/>
      </w:pPr>
      <w:r>
        <w:lastRenderedPageBreak/>
        <w:t>исчислении размера пенсии указанных категорий лиц, в размерах более 2</w:t>
      </w:r>
      <w:r>
        <w:br/>
        <w:t>процентов.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 w:firstLine="720"/>
      </w:pPr>
      <w:r>
        <w:t>В результате осуществления в 2013 - 2019 годах увеличения денежного</w:t>
      </w:r>
      <w:r>
        <w:br/>
        <w:t>довольствия, учитываемого для исчисления «военной» пенсии, опережающи</w:t>
      </w:r>
      <w:r>
        <w:t>ми</w:t>
      </w:r>
      <w:r>
        <w:br/>
        <w:t>темпами размер денежного довольствия, учитываемого для её исчисления,</w:t>
      </w:r>
      <w:r>
        <w:br/>
        <w:t>составил к 1 октября 2019 года 73,68 процента.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 w:firstLine="720"/>
      </w:pPr>
      <w:r>
        <w:t>В соответствии со статьей 49 Закона № 4468-1 пенсии гражданам,</w:t>
      </w:r>
      <w:r>
        <w:br/>
        <w:t>уволенным с военной и приравненной к ней службы, подлежат пересмотру</w:t>
      </w:r>
      <w:r>
        <w:br/>
        <w:t>одно</w:t>
      </w:r>
      <w:r>
        <w:t>временно с увеличением денежного довольствия военнослужащих и</w:t>
      </w:r>
      <w:r>
        <w:br/>
        <w:t>сотрудников.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 w:firstLine="720"/>
      </w:pPr>
      <w:r>
        <w:t>Поскольку денежное довольствие военнослужащих и сотрудников с 1</w:t>
      </w:r>
      <w:r>
        <w:br/>
        <w:t>октября 2019 года проиндексировано на 4,3 %, учитывая указанную норму Закона</w:t>
      </w:r>
      <w:r>
        <w:br/>
        <w:t>№ 4468-1, в 2019 году «военные» пенсии у</w:t>
      </w:r>
      <w:r>
        <w:t>величены также с 1 октября на 4,3</w:t>
      </w:r>
      <w:r>
        <w:br/>
        <w:t>процента.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 w:firstLine="720"/>
      </w:pPr>
      <w:r>
        <w:t>Кроме того, в соответствии с решением Президента Российской Федерации</w:t>
      </w:r>
      <w:r>
        <w:br/>
        <w:t>от 25 октября 2018 года пенсии граждан, уволенных с военной и приравненной к</w:t>
      </w:r>
      <w:r>
        <w:br/>
        <w:t>ней службы, дополнительно увеличены на 2% с 1 октября 2019 года.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tabs>
          <w:tab w:val="left" w:pos="8675"/>
        </w:tabs>
        <w:spacing w:before="0"/>
        <w:ind w:left="40" w:right="20" w:firstLine="720"/>
      </w:pPr>
      <w:r>
        <w:t>В Федеральном законе от 29 ноября 2018 года № 459-ФЗ «О федеральном</w:t>
      </w:r>
      <w:r>
        <w:br/>
        <w:t>бюджете на 2019 год и плановый период 2020 и 2021 годов» бюджетные</w:t>
      </w:r>
      <w:r>
        <w:br/>
        <w:t>ассигнования на повышение «военных» пенсий в связи с увеличением денежного</w:t>
      </w:r>
      <w:r>
        <w:br/>
        <w:t>довольствия военнослужащих и сотрудников с 1 о</w:t>
      </w:r>
      <w:r>
        <w:t>ктября 2019 года на 4,3</w:t>
      </w:r>
      <w:r>
        <w:tab/>
        <w:t>%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 w:firstLine="720"/>
      </w:pPr>
      <w:r>
        <w:t>и на реализацию решения Президента Российской Федерации от 25 октября</w:t>
      </w:r>
      <w:r>
        <w:br/>
        <w:t>2018 года о дополнительном повышении пенсии граждан, уволенных с военной и</w:t>
      </w:r>
      <w:r>
        <w:br/>
        <w:t>приравненной к ней службы, на 2% с 1 октября 2019 года предусмотрены в полном</w:t>
      </w:r>
      <w:r>
        <w:br/>
        <w:t>объеме.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 w:firstLine="720"/>
      </w:pPr>
      <w:r>
        <w:t>Дополнительно отмечается, что в период с 2011 по 2019 годы «военные»</w:t>
      </w:r>
      <w:r>
        <w:br/>
        <w:t>пенсии увеличились в 2,5 раза, а рост «гражданских» пенсий за этот же период</w:t>
      </w:r>
      <w:r>
        <w:br/>
        <w:t>составил 1,7 раза.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 w:firstLine="720"/>
      </w:pPr>
      <w:r>
        <w:t>Средняя «военная» пенсия с 1 октября 2019 года составляет 26,2 тыс. рублей,</w:t>
      </w:r>
      <w:r>
        <w:br/>
        <w:t xml:space="preserve">при этом </w:t>
      </w:r>
      <w:r>
        <w:t>средняя пенсия «гражданских» лиц - 15,4 тыс. рублей.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/>
        <w:ind w:left="40" w:right="20" w:firstLine="720"/>
      </w:pPr>
      <w:r>
        <w:t>Необходимо иметь ввиду, что в соответствии со статьей 26.1 Федерального</w:t>
      </w:r>
      <w:r>
        <w:br/>
        <w:t>закона от 28 декабря 2013 г. № 400-ФЗ «О страховых пенсиях» исчисление суммы</w:t>
      </w:r>
      <w:r>
        <w:br/>
        <w:t>страховой пенсии для работающих пенсионеров, получающи</w:t>
      </w:r>
      <w:r>
        <w:t>х «гражданские»</w:t>
      </w:r>
      <w:r>
        <w:br/>
        <w:t>пенсии, происходит без учета индексации (увеличения) страховой пенсии. Такое</w:t>
      </w:r>
      <w:r>
        <w:br/>
        <w:t>ограничение для работающих пенсионеров, получающих «военные» пенсии,</w:t>
      </w:r>
      <w:r>
        <w:br/>
        <w:t>законодательством не предусмотрено.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 w:after="356"/>
        <w:ind w:left="40" w:right="20" w:firstLine="720"/>
      </w:pPr>
      <w:r>
        <w:t>В соответствии с Федеральным законом от 3 октября 2018 год</w:t>
      </w:r>
      <w:r>
        <w:t>а № 350-ФЗ «О</w:t>
      </w:r>
      <w:r>
        <w:br/>
        <w:t>внесении изменений в отдельные законодательные акты Российской Федерации по</w:t>
      </w:r>
      <w:r>
        <w:br/>
        <w:t>вопросам назначения и выплаты пенсий» увеличен пенсионный возраст граждан на</w:t>
      </w:r>
      <w:r>
        <w:br/>
        <w:t>5 лет. Аналогичные решения по «военным» пенсионерам не приняты».</w:t>
      </w:r>
    </w:p>
    <w:p w:rsidR="00CA656F" w:rsidRDefault="00C85042">
      <w:pPr>
        <w:pStyle w:val="23"/>
        <w:framePr w:w="9398" w:h="13293" w:hRule="exact" w:wrap="around" w:vAnchor="page" w:hAnchor="page" w:x="1268" w:y="641"/>
        <w:shd w:val="clear" w:color="auto" w:fill="auto"/>
        <w:spacing w:before="0" w:line="302" w:lineRule="exact"/>
        <w:ind w:left="40" w:right="5750"/>
      </w:pPr>
      <w:r>
        <w:t>Г лавный советник департ</w:t>
      </w:r>
      <w:r>
        <w:t>амента</w:t>
      </w:r>
      <w:r>
        <w:br/>
        <w:t>рассмотрения жалоб и правовой</w:t>
      </w:r>
      <w:r>
        <w:br/>
        <w:t>работы</w:t>
      </w:r>
    </w:p>
    <w:p w:rsidR="00CA656F" w:rsidRDefault="00203E3B">
      <w:pPr>
        <w:framePr w:wrap="none" w:vAnchor="page" w:hAnchor="page" w:x="6558" w:y="1290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81275" cy="638175"/>
            <wp:effectExtent l="0" t="0" r="9525" b="9525"/>
            <wp:docPr id="3" name="Рисунок 3" descr="C:\Users\user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56F" w:rsidRDefault="00C85042">
      <w:pPr>
        <w:pStyle w:val="a8"/>
        <w:framePr w:wrap="around" w:vAnchor="page" w:hAnchor="page" w:x="1292" w:y="16059"/>
        <w:shd w:val="clear" w:color="auto" w:fill="auto"/>
        <w:spacing w:line="100" w:lineRule="exact"/>
        <w:ind w:left="20"/>
      </w:pPr>
      <w:r>
        <w:t>1005655</w:t>
      </w:r>
    </w:p>
    <w:p w:rsidR="00CA656F" w:rsidRDefault="00C85042">
      <w:pPr>
        <w:pStyle w:val="a8"/>
        <w:framePr w:wrap="around" w:vAnchor="page" w:hAnchor="page" w:x="9740" w:y="16059"/>
        <w:shd w:val="clear" w:color="auto" w:fill="auto"/>
        <w:spacing w:line="100" w:lineRule="exact"/>
        <w:ind w:left="20"/>
      </w:pPr>
      <w:r>
        <w:t>Страница 2 из 2</w:t>
      </w:r>
    </w:p>
    <w:p w:rsidR="00CA656F" w:rsidRDefault="00CA656F">
      <w:pPr>
        <w:rPr>
          <w:sz w:val="2"/>
          <w:szCs w:val="2"/>
        </w:rPr>
      </w:pPr>
    </w:p>
    <w:sectPr w:rsidR="00CA656F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042" w:rsidRDefault="00C85042">
      <w:r>
        <w:separator/>
      </w:r>
    </w:p>
  </w:endnote>
  <w:endnote w:type="continuationSeparator" w:id="0">
    <w:p w:rsidR="00C85042" w:rsidRDefault="00C85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042" w:rsidRDefault="00C85042"/>
  </w:footnote>
  <w:footnote w:type="continuationSeparator" w:id="0">
    <w:p w:rsidR="00C85042" w:rsidRDefault="00C8504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56F"/>
    <w:rsid w:val="00203E3B"/>
    <w:rsid w:val="00C85042"/>
    <w:rsid w:val="00CA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E8C90F-5FB0-4EFD-A675-CC85F09F4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9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4"/>
      <w:szCs w:val="14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">
    <w:name w:val="Подпись к картинк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2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3"/>
      <w:sz w:val="10"/>
      <w:szCs w:val="10"/>
      <w:u w:val="none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pacing w:val="-9"/>
      <w:sz w:val="16"/>
      <w:szCs w:val="1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240" w:line="264" w:lineRule="exact"/>
      <w:jc w:val="center"/>
    </w:pPr>
    <w:rPr>
      <w:rFonts w:ascii="Times New Roman" w:eastAsia="Times New Roman" w:hAnsi="Times New Roman" w:cs="Times New Roman"/>
      <w:b/>
      <w:bCs/>
      <w:spacing w:val="-5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10"/>
      <w:sz w:val="14"/>
      <w:szCs w:val="14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1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3">
    <w:name w:val="Основной текст2"/>
    <w:basedOn w:val="a"/>
    <w:link w:val="a6"/>
    <w:pPr>
      <w:shd w:val="clear" w:color="auto" w:fill="FFFFFF"/>
      <w:spacing w:before="840" w:line="29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Arial Unicode MS" w:eastAsia="Arial Unicode MS" w:hAnsi="Arial Unicode MS" w:cs="Arial Unicode MS"/>
      <w:spacing w:val="3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nasibula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ПРЕЗИДЕНТА</vt:lpstr>
    </vt:vector>
  </TitlesOfParts>
  <Company>Microsoft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ПРЕЗИДЕНТА</dc:title>
  <dc:subject/>
  <dc:creator>user</dc:creator>
  <cp:keywords/>
  <cp:lastModifiedBy>user</cp:lastModifiedBy>
  <cp:revision>1</cp:revision>
  <dcterms:created xsi:type="dcterms:W3CDTF">2019-11-16T06:03:00Z</dcterms:created>
  <dcterms:modified xsi:type="dcterms:W3CDTF">2019-11-16T06:04:00Z</dcterms:modified>
</cp:coreProperties>
</file>