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5"/>
        <w:keepNext w:val="0"/>
        <w:keepLines w:val="0"/>
        <w:framePr w:w="9828" w:h="2282" w:hRule="exact" w:wrap="none" w:vAnchor="page" w:hAnchor="page" w:x="1451" w:y="1051"/>
        <w:widowControl w:val="0"/>
        <w:shd w:val="clear" w:color="auto" w:fill="auto"/>
        <w:bidi w:val="0"/>
        <w:spacing w:before="0" w:after="40" w:line="240" w:lineRule="auto"/>
        <w:ind w:left="8" w:right="201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ГОСУДАРСТВЕННАЯ ДУМА</w:t>
        <w:br/>
        <w:t>ФЕДЕРАЛЬНОГО СОБРАНИЯ РОССИЙСКОЙ ФЕДЕРАЦИИ</w:t>
      </w:r>
    </w:p>
    <w:p>
      <w:pPr>
        <w:pStyle w:val="Style5"/>
        <w:keepNext w:val="0"/>
        <w:keepLines w:val="0"/>
        <w:framePr w:w="9828" w:h="2282" w:hRule="exact" w:wrap="none" w:vAnchor="page" w:hAnchor="page" w:x="1451" w:y="1051"/>
        <w:widowControl w:val="0"/>
        <w:shd w:val="clear" w:color="auto" w:fill="auto"/>
        <w:bidi w:val="0"/>
        <w:spacing w:before="0" w:after="120" w:line="240" w:lineRule="auto"/>
        <w:ind w:left="8" w:right="201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СЕДЬМОГО СОЗЫВА</w:t>
      </w:r>
    </w:p>
    <w:p>
      <w:pPr>
        <w:pStyle w:val="Style8"/>
        <w:keepNext w:val="0"/>
        <w:keepLines w:val="0"/>
        <w:framePr w:w="9828" w:h="2282" w:hRule="exact" w:wrap="none" w:vAnchor="page" w:hAnchor="page" w:x="1451" w:y="1051"/>
        <w:widowControl w:val="0"/>
        <w:shd w:val="clear" w:color="auto" w:fill="auto"/>
        <w:bidi w:val="0"/>
        <w:spacing w:before="0" w:after="120" w:line="240" w:lineRule="auto"/>
        <w:ind w:left="8" w:right="201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ОБОРОНЕ</w:t>
      </w:r>
    </w:p>
    <w:p>
      <w:pPr>
        <w:pStyle w:val="Style11"/>
        <w:keepNext w:val="0"/>
        <w:keepLines w:val="0"/>
        <w:framePr w:w="9828" w:h="2282" w:hRule="exact" w:wrap="none" w:vAnchor="page" w:hAnchor="page" w:x="1451" w:y="1051"/>
        <w:widowControl w:val="0"/>
        <w:shd w:val="clear" w:color="auto" w:fill="auto"/>
        <w:bidi w:val="0"/>
        <w:spacing w:before="0" w:line="240" w:lineRule="auto"/>
        <w:ind w:left="8" w:right="201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Охотный ряд, д. 1, Москва, 103265 Тел. 8(495) 692-77-24 Факс 8(495) 692-95-77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E-mail: </w:t>
      </w:r>
      <w:r>
        <w:fldChar w:fldCharType="begin"/>
      </w:r>
      <w:r>
        <w:rPr/>
        <w:instrText> HYPERLINK "mailto:cdefence@duma.gov.ru"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cdefence@duma.gov.ru</w:t>
      </w:r>
      <w:r>
        <w:fldChar w:fldCharType="end"/>
      </w:r>
    </w:p>
    <w:p>
      <w:pPr>
        <w:pStyle w:val="Style5"/>
        <w:keepNext w:val="0"/>
        <w:keepLines w:val="0"/>
        <w:framePr w:w="9828" w:h="2282" w:hRule="exact" w:wrap="none" w:vAnchor="page" w:hAnchor="page" w:x="1451" w:y="1051"/>
        <w:widowControl w:val="0"/>
        <w:shd w:val="clear" w:color="auto" w:fill="auto"/>
        <w:tabs>
          <w:tab w:pos="2042" w:val="left"/>
          <w:tab w:pos="5692" w:val="left"/>
          <w:tab w:pos="6585" w:val="left"/>
        </w:tabs>
        <w:bidi w:val="0"/>
        <w:spacing w:before="0" w:after="0" w:line="240" w:lineRule="auto"/>
        <w:ind w:left="8" w:right="201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_</w:t>
        <w:tab/>
        <w:t xml:space="preserve">202 </w:t>
      </w:r>
      <w:r>
        <w:rPr>
          <w:color w:val="325EA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/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</w:t>
        <w:tab/>
        <w:t>№</w:t>
        <w:tab/>
      </w:r>
      <w:r>
        <w:rPr>
          <w:color w:val="325EA5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3.14-У^/^^</w:t>
      </w:r>
    </w:p>
    <w:p>
      <w:pPr>
        <w:framePr w:wrap="none" w:vAnchor="page" w:hAnchor="page" w:x="2354" w:y="2937"/>
        <w:widowControl w:val="0"/>
        <w:rPr>
          <w:sz w:val="2"/>
          <w:szCs w:val="2"/>
        </w:rPr>
      </w:pPr>
      <w:r>
        <w:drawing>
          <wp:inline>
            <wp:extent cx="969010" cy="2984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69010" cy="2984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 w:val="0"/>
        <w:keepLines w:val="0"/>
        <w:framePr w:wrap="none" w:vAnchor="page" w:hAnchor="page" w:x="1451" w:y="3503"/>
        <w:widowControl w:val="0"/>
        <w:shd w:val="clear" w:color="auto" w:fill="auto"/>
        <w:bidi w:val="0"/>
        <w:spacing w:before="0" w:after="0" w:line="240" w:lineRule="auto"/>
        <w:ind w:left="57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Я.Л.НАСИБУЛЕ</w:t>
      </w:r>
    </w:p>
    <w:p>
      <w:pPr>
        <w:pStyle w:val="Style5"/>
        <w:keepNext w:val="0"/>
        <w:keepLines w:val="0"/>
        <w:framePr w:w="9828" w:h="605" w:hRule="exact" w:wrap="none" w:vAnchor="page" w:hAnchor="page" w:x="1451" w:y="4133"/>
        <w:widowControl w:val="0"/>
        <w:shd w:val="clear" w:color="auto" w:fill="auto"/>
        <w:bidi w:val="0"/>
        <w:spacing w:before="0" w:after="0" w:line="240" w:lineRule="auto"/>
        <w:ind w:left="5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Лесная д.6 кв.8, мкр. Юбилейный, г. Королев, Московская обл., 141092</w:t>
      </w:r>
    </w:p>
    <w:p>
      <w:pPr>
        <w:pStyle w:val="Style5"/>
        <w:keepNext w:val="0"/>
        <w:keepLines w:val="0"/>
        <w:framePr w:wrap="none" w:vAnchor="page" w:hAnchor="page" w:x="1451" w:y="4964"/>
        <w:widowControl w:val="0"/>
        <w:shd w:val="clear" w:color="auto" w:fill="auto"/>
        <w:bidi w:val="0"/>
        <w:spacing w:before="0" w:after="0" w:line="240" w:lineRule="auto"/>
        <w:ind w:left="5740" w:right="0" w:firstLine="0"/>
        <w:jc w:val="left"/>
      </w:pPr>
      <w:r>
        <w:fldChar w:fldCharType="begin"/>
      </w:r>
      <w:r>
        <w:rPr/>
        <w:instrText> HYPERLINK "mailto:nasibula@mail.ru"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nasibula@mail.ru</w:t>
      </w:r>
      <w:r>
        <w:fldChar w:fldCharType="end"/>
      </w:r>
    </w:p>
    <w:p>
      <w:pPr>
        <w:pStyle w:val="Style8"/>
        <w:keepNext w:val="0"/>
        <w:keepLines w:val="0"/>
        <w:framePr w:w="9828" w:h="374" w:hRule="exact" w:wrap="none" w:vAnchor="page" w:hAnchor="page" w:x="1451" w:y="5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Уважаемый Ярулла Латфулович!</w:t>
      </w:r>
    </w:p>
    <w:p>
      <w:pPr>
        <w:pStyle w:val="Style8"/>
        <w:keepNext w:val="0"/>
        <w:keepLines w:val="0"/>
        <w:framePr w:w="9828" w:h="8748" w:hRule="exact" w:wrap="none" w:vAnchor="page" w:hAnchor="page" w:x="1451" w:y="6275"/>
        <w:widowControl w:val="0"/>
        <w:shd w:val="clear" w:color="auto" w:fill="auto"/>
        <w:bidi w:val="0"/>
        <w:spacing w:before="0" w:after="0" w:line="324" w:lineRule="auto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Ваше обращение от 16 декабря 2020 года в адрес Председателя Государственной Думы Федерального Собрания Российской Федерации по вопросу индексации пенсии граждан, уволенных с военной службы, рассмотрено в Комитете Государственной Думы по обороне.</w:t>
      </w:r>
    </w:p>
    <w:p>
      <w:pPr>
        <w:pStyle w:val="Style8"/>
        <w:keepNext w:val="0"/>
        <w:keepLines w:val="0"/>
        <w:framePr w:w="9828" w:h="8748" w:hRule="exact" w:wrap="none" w:vAnchor="page" w:hAnchor="page" w:x="1451" w:y="6275"/>
        <w:widowControl w:val="0"/>
        <w:shd w:val="clear" w:color="auto" w:fill="auto"/>
        <w:bidi w:val="0"/>
        <w:spacing w:before="0" w:after="0" w:line="324" w:lineRule="auto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Государственной Думы по обороне информирует Вас, что:</w:t>
      </w:r>
    </w:p>
    <w:p>
      <w:pPr>
        <w:pStyle w:val="Style8"/>
        <w:keepNext w:val="0"/>
        <w:keepLines w:val="0"/>
        <w:framePr w:w="9828" w:h="8748" w:hRule="exact" w:wrap="none" w:vAnchor="page" w:hAnchor="page" w:x="1451" w:y="6275"/>
        <w:widowControl w:val="0"/>
        <w:shd w:val="clear" w:color="auto" w:fill="auto"/>
        <w:bidi w:val="0"/>
        <w:spacing w:before="0" w:after="0" w:line="324" w:lineRule="auto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закон от 8 декабря 2020 г. № 385-ФЗ "О федеральном бюджете 2021 год и на плановый период 2022 и 2023 годов" (ранее законопроект № 1027743-7) был принят Государственной Думой Российской Федерации 26 ноября 2020 г., одобрен Советом Федерации Российской Федерации 2 декабря 2020 г. и вступил в силу с 1 января 2021 г.</w:t>
      </w:r>
    </w:p>
    <w:p>
      <w:pPr>
        <w:pStyle w:val="Style8"/>
        <w:keepNext w:val="0"/>
        <w:keepLines w:val="0"/>
        <w:framePr w:w="9828" w:h="8748" w:hRule="exact" w:wrap="none" w:vAnchor="page" w:hAnchor="page" w:x="1451" w:y="6275"/>
        <w:widowControl w:val="0"/>
        <w:shd w:val="clear" w:color="auto" w:fill="auto"/>
        <w:bidi w:val="0"/>
        <w:spacing w:before="0" w:after="0" w:line="360" w:lineRule="auto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закон от 8 декабря 2020 г. № 397-ФЗ 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(ранее законопроект № 1027752-7) был принят Государственной Думой Российской Федерации</w:t>
      </w:r>
    </w:p>
    <w:p>
      <w:pPr>
        <w:pStyle w:val="Style16"/>
        <w:keepNext w:val="0"/>
        <w:keepLines w:val="0"/>
        <w:framePr w:wrap="none" w:vAnchor="page" w:hAnchor="page" w:x="1440" w:y="15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ответе просьба ссылаться на наш исходящий номер.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6"/>
        <w:keepNext w:val="0"/>
        <w:keepLines w:val="0"/>
        <w:framePr w:w="9612" w:h="284" w:hRule="exact" w:wrap="none" w:vAnchor="page" w:hAnchor="page" w:x="1559" w:y="633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center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2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bidi w:val="0"/>
        <w:spacing w:before="0" w:after="0" w:line="36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 ноября 2020 г., одобрен Советом Федерации Российской Федерации 2 декабря 2020 г. и вступил в силу с 1 января 2021 г.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bidi w:val="0"/>
        <w:spacing w:before="0" w:after="0" w:line="32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закон от 2 декабря 2019 г. № 381-ФЗ ”О приостановлении действия части второй статьи 43 Закона Российской Федерации ”0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в связи с Федеральным законом "О федеральном бюджете на 2020 год и на плановый период 2021 и 2022 годов" (ранее законопроект 802513-7) был принят Государственной Думой Российской Федерации 19 ноября 2019 г., одобрен Советом Федерации Российской Федерации 26 ноября 2019 г. и вступил в силу с 1 января 2020 г. Данным федеральным законом действие части второй статьи 43 Закона № 4468-1 приостанавливалось до 1 января 2021 г.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bidi w:val="0"/>
        <w:spacing w:before="0" w:after="0" w:line="32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обороне разделяет озабоченность "военных" пенсионеров и при этом отмечает, что за последние годы при рассмотрении федерального бюджета и изменений к нему основным недостатком в сфере социальной защиты военнослужащих стала недоиндексация "военных пенсий".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bidi w:val="0"/>
        <w:spacing w:before="0" w:after="0" w:line="32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обороне с сожалением констатирует, что: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bidi w:val="0"/>
        <w:spacing w:before="0" w:after="0" w:line="32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9 лет существования части 2 статьи 43 Закона № 4468-1 (с 1 января 2012 года) ее действие приостанавливалось 7 раз;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bidi w:val="0"/>
        <w:spacing w:before="0" w:after="0" w:line="32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9 лет существования подпункта "г" пункта 1 Указа № 604 (с 7 мая 2012 года) он был выполнен только один раз (в 2019 году) и в 2021 году его выполнение не планируется.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tabs>
          <w:tab w:pos="5166" w:val="left"/>
        </w:tabs>
        <w:bidi w:val="0"/>
        <w:spacing w:before="0" w:after="0" w:line="32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Комитет по обороне считает, что систематическое невыполнение требований Указа №</w:t>
        <w:tab/>
        <w:t>604 Правительством Российской</w:t>
      </w:r>
    </w:p>
    <w:p>
      <w:pPr>
        <w:pStyle w:val="Style8"/>
        <w:keepNext w:val="0"/>
        <w:keepLines w:val="0"/>
        <w:framePr w:w="9612" w:h="14180" w:hRule="exact" w:wrap="none" w:vAnchor="page" w:hAnchor="page" w:x="1559" w:y="1137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является нарушением пункта 2 статьи 90 Конституции Российской Федерации, согласно которого указы и распоряжения Президента Российской Федерации обязательны для исполнения на всей территории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6"/>
        <w:keepNext w:val="0"/>
        <w:keepLines w:val="0"/>
        <w:framePr w:wrap="none" w:vAnchor="page" w:hAnchor="page" w:x="6244" w:y="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3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Комитета Государственной Думы по обороне по вопросам пенсионного обеспечения граждан, уволенных с военной службы отображена в заключениях Комитета по обороне при рассмотрении федерального бюджета на предшествующий год и плановый период.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Комитета по обороне по недопущению приостановки действия положений Закона № 4468-1 и неукоснительного выполнения его требований, а также требований Указа Президента Российской Федерации № 604 при формировании бюджета на 2021 год и плановый период 2022-2023 годы Правительством Российской Федерации не была поддержана.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Предложения Комитета по обороне по законопроекту № 1027752-7 не поддержаны.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по мнению Минфина России отсутствие приостановления части второй статьи 43 Закона в 2021 году окажет: ’’отрицательное влияние на сбалансированность доходов и расходов федерального бюджета в предстоящем году, а так же может привести к неполной выплате пенсий гражданам, уволенных с военной и приравненной к ней службы в установленных законодательством размерах”.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Государственной Думы по обороне информирует Вас, что в соответствии со статьей 49 Закона № 4468-1, ’’военные пенсии" подлежат пересмотру: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numPr>
          <w:ilvl w:val="0"/>
          <w:numId w:val="1"/>
        </w:numPr>
        <w:shd w:val="clear" w:color="auto" w:fill="auto"/>
        <w:tabs>
          <w:tab w:pos="143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(размер денежного довольствия военнослужащих должен увеличиваться (или индексироваться) с учетом уровня инфляции (п. 9 ст. 2 № ЗО6-ФЗ);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 января каждого года с учетом увеличения денежного довольствия, учитываемого при исчислении пенсии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(т.е. изменения «понижающего коэффициента»)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установленного частью второй статьи 43 Закона (с 1 января 2012 года установлен в размере 54% и начиная с 1 января 2013 года ежегодно должен увеличивается на 2% до достижения 100 процентов его размера).</w:t>
      </w:r>
    </w:p>
    <w:p>
      <w:pPr>
        <w:pStyle w:val="Style8"/>
        <w:keepNext w:val="0"/>
        <w:keepLines w:val="0"/>
        <w:framePr w:w="9616" w:h="14681" w:hRule="exact" w:wrap="none" w:vAnchor="page" w:hAnchor="page" w:x="1557" w:y="1051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Федеральным законом от 8 декабря 2020 г. № 385-ФЗ "О федеральном бюджете 2021 год и на плановый период 2022 и 2023 годов” предусмотрено увеличение денежного довольствия соответствующих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8"/>
        <w:keepNext w:val="0"/>
        <w:keepLines w:val="0"/>
        <w:framePr w:w="9619" w:h="14994" w:hRule="exact" w:wrap="none" w:vAnchor="page" w:hAnchor="page" w:x="1592" w:y="621"/>
        <w:widowControl w:val="0"/>
        <w:shd w:val="clear" w:color="auto" w:fill="auto"/>
        <w:bidi w:val="0"/>
        <w:spacing w:before="0" w:after="0" w:line="329" w:lineRule="auto"/>
        <w:ind w:left="0" w:right="0" w:firstLine="4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 категорий военнослужащих с 1 октября 2021 года на 3,7% (на уровень расчетной инфляции), что соответственно увеличит в соответствии с пунктом ”а” части 1 статьи 49 Закона № 4468-1 ’’военную пенсию” тоже на 3,7%.</w:t>
      </w:r>
    </w:p>
    <w:p>
      <w:pPr>
        <w:pStyle w:val="Style8"/>
        <w:keepNext w:val="0"/>
        <w:keepLines w:val="0"/>
        <w:framePr w:w="9619" w:h="14994" w:hRule="exact" w:wrap="none" w:vAnchor="page" w:hAnchor="page" w:x="1592" w:y="621"/>
        <w:widowControl w:val="0"/>
        <w:shd w:val="clear" w:color="auto" w:fill="auto"/>
        <w:bidi w:val="0"/>
        <w:spacing w:before="0" w:after="0" w:line="36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6 статьи 75 Конституции Российской Федерации в Российской Федерации формируется система пенсионного обеспечения граждан на основе принципов всеобщности, справедливости и солидарности поколений и поддерживается ее эффективное функционирование, а также осуществляется индексация пенсий не реже одного раза в год в порядке, установленном федеральным законом.</w:t>
      </w:r>
    </w:p>
    <w:p>
      <w:pPr>
        <w:pStyle w:val="Style8"/>
        <w:keepNext w:val="0"/>
        <w:keepLines w:val="0"/>
        <w:framePr w:w="9619" w:h="14994" w:hRule="exact" w:wrap="none" w:vAnchor="page" w:hAnchor="page" w:x="1592" w:y="621"/>
        <w:widowControl w:val="0"/>
        <w:shd w:val="clear" w:color="auto" w:fill="auto"/>
        <w:bidi w:val="0"/>
        <w:spacing w:before="0" w:after="0" w:line="32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Комитета Государственной Думы по обороне, правила определения индексации денежного довольствия, учитываемого при исчислении "военных пенсий” и основания пересмотра размера пенсий, в том числе обусловленные увеличением денежного довольствия соответствующих категорий военнослужащих и сотрудников, исходя из уровня увеличения денежного довольствия, учитываемого при исчислении пенсий (пункт "а" части первой статьи 49 Закона № 4468-1) не противоречат принятым изменениям Конституции Российской Федерации.</w:t>
      </w:r>
    </w:p>
    <w:p>
      <w:pPr>
        <w:pStyle w:val="Style8"/>
        <w:keepNext w:val="0"/>
        <w:keepLines w:val="0"/>
        <w:framePr w:w="9619" w:h="14994" w:hRule="exact" w:wrap="none" w:vAnchor="page" w:hAnchor="page" w:x="1592" w:y="621"/>
        <w:widowControl w:val="0"/>
        <w:shd w:val="clear" w:color="auto" w:fill="auto"/>
        <w:bidi w:val="0"/>
        <w:spacing w:before="0" w:after="0" w:line="36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Конституционный Суд Российской Федерации установил, что определение порядка индексации как одного из способов повышения их размеров может изменяться, учитывая финансово - экономические возможности государства на соответствующем этапе его развития и соблюдая при этом конституционные принципы справедливости, равенства, соразмерности, а также стабильности и гарантированности прав граждан (Определения Конституционного Суда Российской Федерации от 23 апреля 2020 г. № 1023-0, от 26 марта 2020 года №749-0, от 28 ноября 2019 года №3183-0), а также что правовое регулирование, предусмотренное, в том числе пунктом 6 статьи 192 Бюджетного кодекса Российской Федерации, направлено на обеспечение баланса публичных и частных интересов, в том числе за счет последовательного увеличения размера денежного довольствия, подлежащего учету при исчислении пенсий, а потому не может рассматриваться как нарушающее конституционные права граждан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6"/>
        <w:keepNext w:val="0"/>
        <w:keepLines w:val="0"/>
        <w:framePr w:wrap="none" w:vAnchor="page" w:hAnchor="page" w:x="6301" w:y="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5</w:t>
      </w:r>
    </w:p>
    <w:p>
      <w:pPr>
        <w:pStyle w:val="Style8"/>
        <w:keepNext w:val="0"/>
        <w:keepLines w:val="0"/>
        <w:framePr w:w="9576" w:h="6329" w:hRule="exact" w:wrap="none" w:vAnchor="page" w:hAnchor="page" w:x="1610" w:y="104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(Определение Конституционного Суда Российской Федерации от 29 сентября 2020 года №2105-0).</w:t>
      </w:r>
    </w:p>
    <w:p>
      <w:pPr>
        <w:pStyle w:val="Style8"/>
        <w:keepNext w:val="0"/>
        <w:keepLines w:val="0"/>
        <w:framePr w:w="9576" w:h="6329" w:hRule="exact" w:wrap="none" w:vAnchor="page" w:hAnchor="page" w:x="1610" w:y="1041"/>
        <w:widowControl w:val="0"/>
        <w:shd w:val="clear" w:color="auto" w:fill="auto"/>
        <w:bidi w:val="0"/>
        <w:spacing w:before="0" w:after="0" w:line="36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Государственной Думы по обороне также информирует Вас, что в соответствии с пунктом 1 Постановления Государственной Думы № 9139-7 ГД от 18 ноября 2020 года Федеральный закон № 1027752-7 принят Государственной Думой. Наряду с этим, в соответствии с пунктом 2 вышеназванного Постановления Правительству Российской Федерации в течение 2021 года предложено обеспечить выполнение в полном объеме требований подпункта "г" пункта 1 Указа Президента Российской Федерации от 7 мая 2012 года № 604 ”О дальнейшем совершенствовании военной службы в Российской Федерации" в части ежегодного увеличения пенсий гражданам, уволенным с военной службы, не менее чем на 2 процента сверх уровня инфляции.</w:t>
      </w:r>
    </w:p>
    <w:p>
      <w:pPr>
        <w:pStyle w:val="Style8"/>
        <w:keepNext w:val="0"/>
        <w:keepLines w:val="0"/>
        <w:framePr w:wrap="none" w:vAnchor="page" w:hAnchor="page" w:x="1902" w:y="7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уважением,</w:t>
      </w:r>
    </w:p>
    <w:p>
      <w:pPr>
        <w:pStyle w:val="Style8"/>
        <w:keepNext w:val="0"/>
        <w:keepLines w:val="0"/>
        <w:framePr w:w="9576" w:h="695" w:hRule="exact" w:wrap="none" w:vAnchor="page" w:hAnchor="page" w:x="1610" w:y="8251"/>
        <w:widowControl w:val="0"/>
        <w:shd w:val="clear" w:color="auto" w:fill="auto"/>
        <w:bidi w:val="0"/>
        <w:spacing w:before="0" w:after="0" w:line="240" w:lineRule="auto"/>
        <w:ind w:left="18" w:right="670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Первый заместитель</w:t>
        <w:br/>
        <w:t>председателя Комитета</w:t>
      </w:r>
    </w:p>
    <w:p>
      <w:pPr>
        <w:pStyle w:val="Style21"/>
        <w:keepNext w:val="0"/>
        <w:keepLines w:val="0"/>
        <w:framePr w:wrap="none" w:vAnchor="page" w:hAnchor="page" w:x="9969" w:y="8586"/>
        <w:widowControl w:val="0"/>
        <w:shd w:val="clear" w:color="auto" w:fill="auto"/>
        <w:bidi w:val="0"/>
        <w:spacing w:before="0" w:after="0" w:line="240" w:lineRule="auto"/>
        <w:ind w:left="18" w:right="15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Красов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3373755</wp:posOffset>
            </wp:positionH>
            <wp:positionV relativeFrom="page">
              <wp:posOffset>4690110</wp:posOffset>
            </wp:positionV>
            <wp:extent cx="2944495" cy="1554480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944495" cy="1554480"/>
                    </a:xfrm>
                    <a:prstGeom prst="rect"/>
                  </pic:spPr>
                </pic:pic>
              </a:graphicData>
            </a:graphic>
          </wp:anchor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character" w:customStyle="1" w:styleId="CharStyle17">
    <w:name w:val="Колонтитул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after="240"/>
      <w:ind w:left="287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spacing w:line="331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paragraph" w:customStyle="1" w:styleId="Style16">
    <w:name w:val="Колонтитул"/>
    <w:basedOn w:val="Normal"/>
    <w:link w:val="CharStyle17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