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6ACE" w:rsidRDefault="00C51480">
      <w:pPr>
        <w:rPr>
          <w:sz w:val="2"/>
          <w:szCs w:val="2"/>
        </w:rPr>
      </w:pPr>
      <w:r>
        <w:rPr>
          <w:noProof/>
          <w:lang w:bidi="ar-SA"/>
        </w:rPr>
        <mc:AlternateContent>
          <mc:Choice Requires="wps">
            <w:drawing>
              <wp:anchor distT="417830" distB="0" distL="63500" distR="1718310" simplePos="0" relativeHeight="377487104" behindDoc="1" locked="0" layoutInCell="1" allowOverlap="1">
                <wp:simplePos x="0" y="0"/>
                <wp:positionH relativeFrom="margin">
                  <wp:posOffset>635</wp:posOffset>
                </wp:positionH>
                <wp:positionV relativeFrom="paragraph">
                  <wp:posOffset>417830</wp:posOffset>
                </wp:positionV>
                <wp:extent cx="585470" cy="1536700"/>
                <wp:effectExtent l="3810" t="2540" r="1270" b="3810"/>
                <wp:wrapSquare wrapText="right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5470" cy="153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D6ACE" w:rsidRDefault="00C51480">
                            <w:pPr>
                              <w:jc w:val="center"/>
                              <w:rPr>
                                <w:sz w:val="2"/>
                                <w:szCs w:val="2"/>
                              </w:rPr>
                            </w:pPr>
                            <w:r>
                              <w:rPr>
                                <w:noProof/>
                                <w:lang w:bidi="ar-SA"/>
                              </w:rPr>
                              <w:drawing>
                                <wp:inline distT="0" distB="0" distL="0" distR="0">
                                  <wp:extent cx="582295" cy="620395"/>
                                  <wp:effectExtent l="0" t="0" r="0" b="0"/>
                                  <wp:docPr id="2" name="Рисунок 2" descr="C:\Users\Denisz\AppData\Local\Temp\FineReader12.00\media\image1.jpe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C:\Users\Denisz\AppData\Local\Temp\FineReader12.00\media\image1.jpe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82295" cy="62039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ED6ACE" w:rsidRDefault="001B49D8">
                            <w:pPr>
                              <w:pStyle w:val="2"/>
                              <w:shd w:val="clear" w:color="auto" w:fill="auto"/>
                            </w:pPr>
                            <w:r>
                              <w:t xml:space="preserve">Прокуратура Российской </w:t>
                            </w:r>
                            <w:r>
                              <w:t>Федерации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.05pt;margin-top:32.9pt;width:46.1pt;height:121pt;z-index:-125829376;visibility:visible;mso-wrap-style:square;mso-width-percent:0;mso-height-percent:0;mso-wrap-distance-left:5pt;mso-wrap-distance-top:32.9pt;mso-wrap-distance-right:135.3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" filled="f" stroked="f">
                <v:textbox style="mso-fit-shape-to-text:t" inset="0,0,0,0">
                  <w:txbxContent>
                    <w:p w:rsidR="00ED6ACE" w:rsidRDefault="00C51480">
                      <w:pPr>
                        <w:jc w:val="center"/>
                        <w:rPr>
                          <w:sz w:val="2"/>
                          <w:szCs w:val="2"/>
                        </w:rPr>
                      </w:pPr>
                      <w:r>
                        <w:rPr>
                          <w:noProof/>
                          <w:lang w:bidi="ar-SA"/>
                        </w:rPr>
                        <w:drawing>
                          <wp:inline distT="0" distB="0" distL="0" distR="0">
                            <wp:extent cx="582295" cy="620395"/>
                            <wp:effectExtent l="0" t="0" r="0" b="0"/>
                            <wp:docPr id="2" name="Рисунок 2" descr="C:\Users\Denisz\AppData\Local\Temp\FineReader12.00\media\image1.jpe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C:\Users\Denisz\AppData\Local\Temp\FineReader12.00\media\image1.jpe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82295" cy="62039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ED6ACE" w:rsidRDefault="001B49D8">
                      <w:pPr>
                        <w:pStyle w:val="2"/>
                        <w:shd w:val="clear" w:color="auto" w:fill="auto"/>
                      </w:pPr>
                      <w:r>
                        <w:t xml:space="preserve">Прокуратура Российской </w:t>
                      </w:r>
                      <w:r>
                        <w:t>Федерации</w:t>
                      </w:r>
                    </w:p>
                  </w:txbxContent>
                </v:textbox>
                <w10:wrap type="square" side="right" anchorx="margin"/>
              </v:shape>
            </w:pict>
          </mc:Fallback>
        </mc:AlternateContent>
      </w:r>
    </w:p>
    <w:p w:rsidR="00ED6ACE" w:rsidRDefault="00ED6ACE">
      <w:pPr>
        <w:rPr>
          <w:sz w:val="2"/>
          <w:szCs w:val="2"/>
        </w:rPr>
        <w:sectPr w:rsidR="00ED6ACE">
          <w:headerReference w:type="default" r:id="rId7"/>
          <w:type w:val="continuous"/>
          <w:pgSz w:w="11900" w:h="16840"/>
          <w:pgMar w:top="531" w:right="323" w:bottom="232" w:left="1055" w:header="0" w:footer="3" w:gutter="0"/>
          <w:cols w:space="720"/>
          <w:noEndnote/>
          <w:docGrid w:linePitch="360"/>
        </w:sectPr>
      </w:pPr>
    </w:p>
    <w:p w:rsidR="00ED6ACE" w:rsidRDefault="00ED6ACE">
      <w:pPr>
        <w:spacing w:line="240" w:lineRule="exact"/>
        <w:rPr>
          <w:sz w:val="19"/>
          <w:szCs w:val="19"/>
        </w:rPr>
      </w:pPr>
    </w:p>
    <w:p w:rsidR="00ED6ACE" w:rsidRDefault="00ED6ACE">
      <w:pPr>
        <w:spacing w:line="240" w:lineRule="exact"/>
        <w:rPr>
          <w:sz w:val="19"/>
          <w:szCs w:val="19"/>
        </w:rPr>
      </w:pPr>
    </w:p>
    <w:p w:rsidR="00ED6ACE" w:rsidRDefault="00ED6ACE">
      <w:pPr>
        <w:spacing w:line="240" w:lineRule="exact"/>
        <w:rPr>
          <w:sz w:val="19"/>
          <w:szCs w:val="19"/>
        </w:rPr>
      </w:pPr>
    </w:p>
    <w:p w:rsidR="00ED6ACE" w:rsidRDefault="00ED6ACE">
      <w:pPr>
        <w:spacing w:line="240" w:lineRule="exact"/>
        <w:rPr>
          <w:sz w:val="19"/>
          <w:szCs w:val="19"/>
        </w:rPr>
      </w:pPr>
    </w:p>
    <w:p w:rsidR="00ED6ACE" w:rsidRDefault="00ED6ACE">
      <w:pPr>
        <w:spacing w:line="240" w:lineRule="exact"/>
        <w:rPr>
          <w:sz w:val="19"/>
          <w:szCs w:val="19"/>
        </w:rPr>
      </w:pPr>
    </w:p>
    <w:p w:rsidR="00ED6ACE" w:rsidRDefault="00ED6ACE">
      <w:pPr>
        <w:spacing w:before="4" w:after="4" w:line="240" w:lineRule="exact"/>
        <w:rPr>
          <w:sz w:val="19"/>
          <w:szCs w:val="19"/>
        </w:rPr>
      </w:pPr>
    </w:p>
    <w:p w:rsidR="00ED6ACE" w:rsidRDefault="00ED6ACE">
      <w:pPr>
        <w:rPr>
          <w:sz w:val="2"/>
          <w:szCs w:val="2"/>
        </w:rPr>
        <w:sectPr w:rsidR="00ED6ACE">
          <w:type w:val="continuous"/>
          <w:pgSz w:w="11900" w:h="16840"/>
          <w:pgMar w:top="1368" w:right="0" w:bottom="177" w:left="0" w:header="0" w:footer="3" w:gutter="0"/>
          <w:cols w:space="720"/>
          <w:noEndnote/>
          <w:docGrid w:linePitch="360"/>
        </w:sectPr>
      </w:pPr>
    </w:p>
    <w:p w:rsidR="00C51480" w:rsidRDefault="00C51480">
      <w:pPr>
        <w:pStyle w:val="21"/>
        <w:shd w:val="clear" w:color="auto" w:fill="auto"/>
        <w:spacing w:after="309" w:line="280" w:lineRule="exact"/>
        <w:ind w:right="80"/>
        <w:jc w:val="center"/>
      </w:pPr>
    </w:p>
    <w:p w:rsidR="00C51480" w:rsidRDefault="00C51480">
      <w:pPr>
        <w:pStyle w:val="21"/>
        <w:shd w:val="clear" w:color="auto" w:fill="auto"/>
        <w:spacing w:after="309" w:line="280" w:lineRule="exact"/>
        <w:ind w:right="80"/>
        <w:jc w:val="center"/>
      </w:pPr>
    </w:p>
    <w:p w:rsidR="00C51480" w:rsidRDefault="00C51480">
      <w:pPr>
        <w:pStyle w:val="21"/>
        <w:shd w:val="clear" w:color="auto" w:fill="auto"/>
        <w:spacing w:after="309" w:line="280" w:lineRule="exact"/>
        <w:ind w:right="80"/>
        <w:jc w:val="center"/>
      </w:pPr>
    </w:p>
    <w:p w:rsidR="00ED6ACE" w:rsidRDefault="001B49D8">
      <w:pPr>
        <w:pStyle w:val="21"/>
        <w:shd w:val="clear" w:color="auto" w:fill="auto"/>
        <w:spacing w:after="309" w:line="280" w:lineRule="exact"/>
        <w:ind w:right="80"/>
        <w:jc w:val="center"/>
      </w:pPr>
      <w:r>
        <w:t xml:space="preserve">Уважаемый </w:t>
      </w:r>
    </w:p>
    <w:p w:rsidR="00ED6ACE" w:rsidRDefault="001B49D8">
      <w:pPr>
        <w:pStyle w:val="21"/>
        <w:shd w:val="clear" w:color="auto" w:fill="auto"/>
        <w:spacing w:after="0" w:line="322" w:lineRule="exact"/>
        <w:ind w:firstLine="820"/>
        <w:jc w:val="both"/>
      </w:pPr>
      <w:r>
        <w:t xml:space="preserve">Ваше обращение от 16.02.2021, обусловленное ненадлежащим </w:t>
      </w:r>
      <w:r>
        <w:t>содержанием многоквартирных жилых домов по ул.</w:t>
      </w:r>
      <w:r>
        <w:t>, а также по иным вопросам поступило в военную прокуратуру гарнизона и разрешено.</w:t>
      </w:r>
    </w:p>
    <w:p w:rsidR="00ED6ACE" w:rsidRDefault="001B49D8">
      <w:pPr>
        <w:pStyle w:val="21"/>
        <w:shd w:val="clear" w:color="auto" w:fill="auto"/>
        <w:spacing w:after="0" w:line="322" w:lineRule="exact"/>
        <w:ind w:firstLine="820"/>
        <w:jc w:val="both"/>
      </w:pPr>
      <w:r>
        <w:t xml:space="preserve">Разрешая довод, связанный с межеванием земельного участка с кадастровым номером </w:t>
      </w:r>
      <w:r>
        <w:t>90, расп</w:t>
      </w:r>
      <w:r>
        <w:t xml:space="preserve">оложенного между многоквартирными домами (далее - МКД) по адресу: </w:t>
      </w:r>
      <w:r>
        <w:t>№№ 1, 1а, 3 и За, сообщаю, что приказом директора Департамента имущественных отношений Минобороны России от 17.06.2020 № 1135 право постоянного (бессрочного) п</w:t>
      </w:r>
      <w:r>
        <w:t xml:space="preserve">ользования ФГКУ </w:t>
      </w:r>
      <w:r>
        <w:t>«</w:t>
      </w:r>
      <w:r>
        <w:t xml:space="preserve">территориальное управление имущественных отношений» Минобороны России (далее </w:t>
      </w:r>
      <w:r>
        <w:rPr>
          <w:rStyle w:val="22"/>
        </w:rPr>
        <w:t xml:space="preserve">- </w:t>
      </w:r>
      <w:r>
        <w:t>ТУИО, Учреждение) вышеуказанным земельным участком прекращено.</w:t>
      </w:r>
    </w:p>
    <w:p w:rsidR="00ED6ACE" w:rsidRDefault="001B49D8">
      <w:pPr>
        <w:pStyle w:val="21"/>
        <w:shd w:val="clear" w:color="auto" w:fill="auto"/>
        <w:spacing w:after="0" w:line="322" w:lineRule="exact"/>
        <w:ind w:firstLine="820"/>
        <w:jc w:val="both"/>
      </w:pPr>
      <w:r>
        <w:t xml:space="preserve">МТУ Росимущества в </w:t>
      </w:r>
      <w:r w:rsidR="00C51480">
        <w:t xml:space="preserve">   </w:t>
      </w:r>
      <w:r>
        <w:t>Учреждению</w:t>
      </w:r>
      <w:r>
        <w:t xml:space="preserve"> отказано в принятии земельного участка в казну Российской Федерации в связи с нахождением на нем многоквартирных жилых домов.</w:t>
      </w:r>
    </w:p>
    <w:p w:rsidR="00ED6ACE" w:rsidRDefault="001B49D8">
      <w:pPr>
        <w:pStyle w:val="21"/>
        <w:shd w:val="clear" w:color="auto" w:fill="auto"/>
        <w:spacing w:after="0" w:line="322" w:lineRule="exact"/>
        <w:ind w:firstLine="820"/>
        <w:jc w:val="both"/>
      </w:pPr>
      <w:r>
        <w:t xml:space="preserve">В 2019 г. Департаментом муниципальной собственности администрации г. </w:t>
      </w:r>
      <w:r>
        <w:t>также отказано (исх. от 30.08.2019 № 06-08/10030)</w:t>
      </w:r>
      <w:r>
        <w:t xml:space="preserve"> в принятии в муниципальную собственность земельного участка с кадастровым номером </w:t>
      </w:r>
      <w:r w:rsidR="00C51480">
        <w:t xml:space="preserve"> </w:t>
      </w:r>
      <w:r>
        <w:t>.</w:t>
      </w:r>
    </w:p>
    <w:p w:rsidR="00ED6ACE" w:rsidRDefault="001B49D8">
      <w:pPr>
        <w:pStyle w:val="21"/>
        <w:shd w:val="clear" w:color="auto" w:fill="auto"/>
        <w:spacing w:after="0" w:line="322" w:lineRule="exact"/>
        <w:ind w:firstLine="820"/>
        <w:jc w:val="both"/>
      </w:pPr>
      <w:r>
        <w:t xml:space="preserve">Сейчас в Арбитражном суде </w:t>
      </w:r>
      <w:r>
        <w:t xml:space="preserve">рассматривается исковое заявление </w:t>
      </w:r>
      <w:r>
        <w:t xml:space="preserve">ТУИО о возложении обязанностей на МТУ Росимущества </w:t>
      </w:r>
      <w:r>
        <w:t>подписать акт приема-передачи земельнрг</w:t>
      </w:r>
      <w:r w:rsidR="00C51480">
        <w:t>о участка (дело № А73</w:t>
      </w:r>
      <w:r>
        <w:t>) с целью его надлежащего балансового учета.</w:t>
      </w:r>
    </w:p>
    <w:p w:rsidR="00ED6ACE" w:rsidRDefault="001B49D8">
      <w:pPr>
        <w:pStyle w:val="21"/>
        <w:shd w:val="clear" w:color="auto" w:fill="auto"/>
        <w:spacing w:after="0" w:line="322" w:lineRule="exact"/>
        <w:ind w:firstLine="820"/>
        <w:jc w:val="both"/>
      </w:pPr>
      <w:r>
        <w:t xml:space="preserve">По вышеизложенным обстоятельствам для организации надзорных мероприятий проинформирован прокурор </w:t>
      </w:r>
      <w:bookmarkStart w:id="0" w:name="_GoBack"/>
      <w:bookmarkEnd w:id="0"/>
      <w:r>
        <w:t>(ис</w:t>
      </w:r>
      <w:r>
        <w:t xml:space="preserve">х. </w:t>
      </w:r>
      <w:r>
        <w:rPr>
          <w:lang w:val="en-US" w:eastAsia="en-US" w:bidi="en-US"/>
        </w:rPr>
        <w:t>N</w:t>
      </w:r>
      <w:r w:rsidRPr="00C51480">
        <w:rPr>
          <w:lang w:eastAsia="en-US" w:bidi="en-US"/>
        </w:rPr>
        <w:t xml:space="preserve">° </w:t>
      </w:r>
      <w:r>
        <w:t>Исорг-331-21 от 08.02.2021). ' '</w:t>
      </w:r>
    </w:p>
    <w:p w:rsidR="00ED6ACE" w:rsidRDefault="00ED6ACE">
      <w:pPr>
        <w:pStyle w:val="40"/>
        <w:shd w:val="clear" w:color="auto" w:fill="auto"/>
        <w:tabs>
          <w:tab w:val="left" w:leader="underscore" w:pos="7234"/>
        </w:tabs>
        <w:spacing w:before="0"/>
        <w:ind w:left="6360"/>
      </w:pPr>
    </w:p>
    <w:p w:rsidR="00ED6ACE" w:rsidRDefault="001B49D8">
      <w:pPr>
        <w:pStyle w:val="21"/>
        <w:shd w:val="clear" w:color="auto" w:fill="auto"/>
        <w:spacing w:after="0" w:line="322" w:lineRule="exact"/>
        <w:ind w:firstLine="740"/>
        <w:jc w:val="both"/>
      </w:pPr>
      <w:r>
        <w:t>Проверкой доводов заявителя об обслуживании и содержании малых архитектурных форм (далее - МАФ), расположенных на вышеуказанном земельном участке в район</w:t>
      </w:r>
      <w:r>
        <w:t>е МКД 1, 1а и 3, установлено, что такое обслуживание названных МАФ учреждениями и организациями, надзор за которым осуществляет военная прокуратура гарнизона, не осуществляется по причине их не передачи в установленном порядке.</w:t>
      </w:r>
    </w:p>
    <w:p w:rsidR="00ED6ACE" w:rsidRDefault="001B49D8">
      <w:pPr>
        <w:pStyle w:val="21"/>
        <w:shd w:val="clear" w:color="auto" w:fill="auto"/>
        <w:spacing w:after="0" w:line="322" w:lineRule="exact"/>
        <w:ind w:firstLine="740"/>
        <w:jc w:val="both"/>
      </w:pPr>
      <w:r>
        <w:t>В обращении указано на недос</w:t>
      </w:r>
      <w:r>
        <w:t>таточность принятых в военной прокуратуре гарнизона мер прокурорского реагирования, направленных на устранение выявленных нарушений закона, в связи с чем вынужден разъяснить положения ст. 5 Федерального закона «О прокуратуре Российской Федерации», где зако</w:t>
      </w:r>
      <w:r>
        <w:t>нодатель прямо указал на недопустимость вмешательства в осуществление прокурорского надзора.</w:t>
      </w:r>
    </w:p>
    <w:p w:rsidR="00ED6ACE" w:rsidRDefault="001B49D8">
      <w:pPr>
        <w:pStyle w:val="21"/>
        <w:shd w:val="clear" w:color="auto" w:fill="auto"/>
        <w:spacing w:after="0" w:line="322" w:lineRule="exact"/>
        <w:ind w:firstLine="740"/>
        <w:jc w:val="both"/>
      </w:pPr>
      <w:r>
        <w:t>Ранее в военной прокуратуре гарнизона исследовались обстоятельства заключения Министерством обороны России с ФГБУ «ЦЖКУ» Минобороны России договоров управления мно</w:t>
      </w:r>
      <w:r>
        <w:t xml:space="preserve">гоквартирными домами, в том числе договора от 26.09.2017 № З-УЖФ/ВВО-1, когда констатированы нарушения требований ч. 4 ст. </w:t>
      </w:r>
      <w:r>
        <w:lastRenderedPageBreak/>
        <w:t xml:space="preserve">161, ст. 163 Жилищного кодекса РФ и постановления Правительства Российской Федерации от 06.02.2006 № 75 (как результат, в Управлении </w:t>
      </w:r>
      <w:r>
        <w:t>антимонопольной службы по Хабаровскому краю в настоящее время рассматриваются два таких дела о нарушении антимонопольного законодательства Российской Федерации).</w:t>
      </w:r>
    </w:p>
    <w:p w:rsidR="00ED6ACE" w:rsidRDefault="001B49D8">
      <w:pPr>
        <w:pStyle w:val="21"/>
        <w:shd w:val="clear" w:color="auto" w:fill="auto"/>
        <w:spacing w:after="0" w:line="322" w:lineRule="exact"/>
        <w:ind w:firstLine="740"/>
        <w:jc w:val="both"/>
      </w:pPr>
      <w:r>
        <w:t>Указанные в обращении доводы ранее являлись предметами прокурорских проверок, им дана надлежащ</w:t>
      </w:r>
      <w:r>
        <w:t>ая оценка, для их устранения осуществлено прокурорское реагирование.</w:t>
      </w:r>
    </w:p>
    <w:p w:rsidR="00ED6ACE" w:rsidRDefault="001B49D8">
      <w:pPr>
        <w:pStyle w:val="21"/>
        <w:shd w:val="clear" w:color="auto" w:fill="auto"/>
        <w:spacing w:after="0" w:line="322" w:lineRule="exact"/>
        <w:ind w:firstLine="740"/>
        <w:jc w:val="both"/>
      </w:pPr>
      <w:r>
        <w:t>Разъясняю, что в соответствии со ст. ст. 218, 219 КАС РФ Вы вправе обратиться в суд с требованием об оспаривании решений, действий (бездействия) органа государственной власти, должностног</w:t>
      </w:r>
      <w:r>
        <w:t>о лица, если полагаете, что нарушены или оспорены Ваши права, свободы и законные интересы, созданы препятствия к их осуществлению и реализации законных интересов.</w:t>
      </w:r>
    </w:p>
    <w:p w:rsidR="00ED6ACE" w:rsidRDefault="001B49D8">
      <w:pPr>
        <w:pStyle w:val="21"/>
        <w:shd w:val="clear" w:color="auto" w:fill="auto"/>
        <w:spacing w:after="0" w:line="322" w:lineRule="exact"/>
        <w:ind w:firstLine="740"/>
        <w:jc w:val="both"/>
      </w:pPr>
      <w:r>
        <w:t>Принятое решение Вы вправе обжаловать вышестоящему прокурору или в суд.</w:t>
      </w:r>
    </w:p>
    <w:p w:rsidR="00ED6ACE" w:rsidRDefault="00ED6ACE">
      <w:pPr>
        <w:framePr w:h="2088" w:wrap="notBeside" w:vAnchor="text" w:hAnchor="text" w:xAlign="center" w:y="1"/>
        <w:jc w:val="center"/>
        <w:rPr>
          <w:sz w:val="2"/>
          <w:szCs w:val="2"/>
        </w:rPr>
      </w:pPr>
    </w:p>
    <w:p w:rsidR="00ED6ACE" w:rsidRDefault="00ED6ACE">
      <w:pPr>
        <w:rPr>
          <w:sz w:val="2"/>
          <w:szCs w:val="2"/>
        </w:rPr>
      </w:pPr>
    </w:p>
    <w:p w:rsidR="00ED6ACE" w:rsidRDefault="00ED6ACE">
      <w:pPr>
        <w:rPr>
          <w:sz w:val="2"/>
          <w:szCs w:val="2"/>
        </w:rPr>
      </w:pPr>
    </w:p>
    <w:sectPr w:rsidR="00ED6ACE">
      <w:type w:val="continuous"/>
      <w:pgSz w:w="11900" w:h="16840"/>
      <w:pgMar w:top="1368" w:right="405" w:bottom="177" w:left="1285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49D8" w:rsidRDefault="001B49D8">
      <w:r>
        <w:separator/>
      </w:r>
    </w:p>
  </w:endnote>
  <w:endnote w:type="continuationSeparator" w:id="0">
    <w:p w:rsidR="001B49D8" w:rsidRDefault="001B49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49D8" w:rsidRDefault="001B49D8"/>
  </w:footnote>
  <w:footnote w:type="continuationSeparator" w:id="0">
    <w:p w:rsidR="001B49D8" w:rsidRDefault="001B49D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6ACE" w:rsidRDefault="00C51480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251657728" behindDoc="1" locked="0" layoutInCell="1" allowOverlap="1">
              <wp:simplePos x="0" y="0"/>
              <wp:positionH relativeFrom="page">
                <wp:posOffset>4030345</wp:posOffset>
              </wp:positionH>
              <wp:positionV relativeFrom="page">
                <wp:posOffset>546100</wp:posOffset>
              </wp:positionV>
              <wp:extent cx="70485" cy="160655"/>
              <wp:effectExtent l="1270" t="3175" r="4445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0485" cy="1606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D6ACE" w:rsidRDefault="001B49D8">
                          <w:pPr>
                            <w:pStyle w:val="a6"/>
                            <w:shd w:val="clear" w:color="auto" w:fill="auto"/>
                            <w:spacing w:line="240" w:lineRule="auto"/>
                            <w:jc w:val="left"/>
                          </w:pPr>
                          <w:r>
                            <w:rPr>
                              <w:rStyle w:val="a7"/>
                            </w:rPr>
                            <w:t>2</w:t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317.35pt;margin-top:43pt;width:5.55pt;height:12.65pt;z-index:-251658752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" filled="f" stroked="f">
              <v:textbox style="mso-fit-shape-to-text:t" inset="0,0,0,0">
                <w:txbxContent>
                  <w:p w:rsidR="00ED6ACE" w:rsidRDefault="001B49D8">
                    <w:pPr>
                      <w:pStyle w:val="a6"/>
                      <w:shd w:val="clear" w:color="auto" w:fill="auto"/>
                      <w:spacing w:line="240" w:lineRule="auto"/>
                      <w:jc w:val="left"/>
                    </w:pPr>
                    <w:r>
                      <w:rPr>
                        <w:rStyle w:val="a7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6ACE"/>
    <w:rsid w:val="001B49D8"/>
    <w:rsid w:val="00C51480"/>
    <w:rsid w:val="00ED6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E9101C"/>
  <w15:docId w15:val="{39A9AE60-2E9D-4E15-AD95-28E0DB658D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Exact">
    <w:name w:val="Подпись к картинке (2) Exact"/>
    <w:basedOn w:val="a0"/>
    <w:link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20">
    <w:name w:val="Основной текст (2)_"/>
    <w:basedOn w:val="a0"/>
    <w:link w:val="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Exact">
    <w:name w:val="Подпись к картинке Exact"/>
    <w:basedOn w:val="a0"/>
    <w:link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22">
    <w:name w:val="Основной текст (2)"/>
    <w:basedOn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4">
    <w:name w:val="Основной текст (4)_"/>
    <w:basedOn w:val="a0"/>
    <w:link w:val="40"/>
    <w:rPr>
      <w:rFonts w:ascii="Candara" w:eastAsia="Candara" w:hAnsi="Candara" w:cs="Candara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4TimesNewRoman">
    <w:name w:val="Основной текст (4) + Times New Roman"/>
    <w:basedOn w:val="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ru-RU" w:eastAsia="ru-RU" w:bidi="ru-RU"/>
    </w:rPr>
  </w:style>
  <w:style w:type="character" w:customStyle="1" w:styleId="a5">
    <w:name w:val="Колонтитул_"/>
    <w:basedOn w:val="a0"/>
    <w:link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a7">
    <w:name w:val="Колонтитул"/>
    <w:basedOn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paragraph" w:customStyle="1" w:styleId="2">
    <w:name w:val="Подпись к картинке (2)"/>
    <w:basedOn w:val="a"/>
    <w:link w:val="2Exact"/>
    <w:pPr>
      <w:shd w:val="clear" w:color="auto" w:fill="FFFFFF"/>
      <w:spacing w:line="240" w:lineRule="exact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after="120" w:line="235" w:lineRule="exact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21">
    <w:name w:val="Основной текст (2)"/>
    <w:basedOn w:val="a"/>
    <w:link w:val="20"/>
    <w:pPr>
      <w:shd w:val="clear" w:color="auto" w:fill="FFFFFF"/>
      <w:spacing w:after="240" w:line="0" w:lineRule="atLeas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4">
    <w:name w:val="Подпись к картинке"/>
    <w:basedOn w:val="a"/>
    <w:link w:val="Exact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before="240" w:line="216" w:lineRule="exact"/>
      <w:jc w:val="both"/>
    </w:pPr>
    <w:rPr>
      <w:rFonts w:ascii="Candara" w:eastAsia="Candara" w:hAnsi="Candara" w:cs="Candara"/>
      <w:sz w:val="15"/>
      <w:szCs w:val="15"/>
    </w:rPr>
  </w:style>
  <w:style w:type="paragraph" w:customStyle="1" w:styleId="a6">
    <w:name w:val="Колонтитул"/>
    <w:basedOn w:val="a"/>
    <w:link w:val="a5"/>
    <w:pPr>
      <w:shd w:val="clear" w:color="auto" w:fill="FFFFFF"/>
      <w:spacing w:line="0" w:lineRule="atLeast"/>
      <w:jc w:val="center"/>
    </w:pPr>
    <w:rPr>
      <w:rFonts w:ascii="Times New Roman" w:eastAsia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496</Words>
  <Characters>2831</Characters>
  <Application>Microsoft Office Word</Application>
  <DocSecurity>0</DocSecurity>
  <Lines>23</Lines>
  <Paragraphs>6</Paragraphs>
  <ScaleCrop>false</ScaleCrop>
  <Company/>
  <LinksUpToDate>false</LinksUpToDate>
  <CharactersWithSpaces>3321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Denisz</dc:creator>
  <cp:lastModifiedBy>Denisz</cp:lastModifiedBy>
  <cp:revision>1</cp:revision>
  <dcterms:created xsi:type="dcterms:W3CDTF">2021-03-06T17:55:00Z</dcterms:created>
  <dcterms:modified xsi:type="dcterms:W3CDTF">2021-03-06T17:59:00Z</dcterms:modified>
</cp:coreProperties>
</file>