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p>
    <w:p>
      <w:pPr>
        <w:framePr w:wrap="none" w:vAnchor="page" w:hAnchor="page" w:x="2526" w:y="683"/>
        <w:widowControl w:val="0"/>
        <w:rPr>
          <w:sz w:val="2"/>
          <w:szCs w:val="2"/>
        </w:rPr>
      </w:pPr>
      <w:r>
        <w:drawing>
          <wp:inline>
            <wp:extent cx="749935" cy="88392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749935" cy="883920"/>
                    </a:xfrm>
                    <a:prstGeom prst="rect"/>
                  </pic:spPr>
                </pic:pic>
              </a:graphicData>
            </a:graphic>
          </wp:inline>
        </w:drawing>
      </w:r>
    </w:p>
    <w:p>
      <w:pPr>
        <w:pStyle w:val="Style5"/>
        <w:keepNext w:val="0"/>
        <w:keepLines w:val="0"/>
        <w:framePr w:w="10306" w:h="456" w:hRule="exact" w:wrap="none" w:vAnchor="page" w:hAnchor="page" w:x="789" w:y="2171"/>
        <w:widowControl w:val="0"/>
        <w:shd w:val="clear" w:color="auto" w:fill="auto"/>
        <w:bidi w:val="0"/>
        <w:spacing w:before="0" w:after="0" w:line="240" w:lineRule="auto"/>
        <w:ind w:left="0" w:right="0" w:firstLine="1000"/>
        <w:jc w:val="left"/>
      </w:pPr>
      <w:r>
        <w:rPr>
          <w:color w:val="000000"/>
          <w:spacing w:val="0"/>
          <w:w w:val="100"/>
          <w:position w:val="0"/>
          <w:shd w:val="clear" w:color="auto" w:fill="auto"/>
          <w:lang w:val="ru-RU" w:eastAsia="ru-RU" w:bidi="ru-RU"/>
        </w:rPr>
        <w:t>АДМИНИСТРАЦИЯ ПРЕЗИДЕНТА</w:t>
      </w:r>
    </w:p>
    <w:p>
      <w:pPr>
        <w:pStyle w:val="Style5"/>
        <w:keepNext w:val="0"/>
        <w:keepLines w:val="0"/>
        <w:framePr w:w="10306" w:h="456" w:hRule="exact" w:wrap="none" w:vAnchor="page" w:hAnchor="page" w:x="789" w:y="2171"/>
        <w:widowControl w:val="0"/>
        <w:shd w:val="clear" w:color="auto" w:fill="auto"/>
        <w:bidi w:val="0"/>
        <w:spacing w:before="0" w:after="0" w:line="240" w:lineRule="auto"/>
        <w:ind w:left="1220" w:right="0" w:firstLine="0"/>
        <w:jc w:val="left"/>
      </w:pPr>
      <w:r>
        <w:rPr>
          <w:color w:val="000000"/>
          <w:spacing w:val="0"/>
          <w:w w:val="100"/>
          <w:position w:val="0"/>
          <w:shd w:val="clear" w:color="auto" w:fill="auto"/>
          <w:lang w:val="ru-RU" w:eastAsia="ru-RU" w:bidi="ru-RU"/>
        </w:rPr>
        <w:t>РОССИЙСКОЙ ФЕДЕРАЦИИ</w:t>
      </w:r>
    </w:p>
    <w:p>
      <w:pPr>
        <w:pStyle w:val="Style7"/>
        <w:keepNext w:val="0"/>
        <w:keepLines w:val="0"/>
        <w:framePr w:w="10306" w:h="1099" w:hRule="exact" w:wrap="none" w:vAnchor="page" w:hAnchor="page" w:x="789" w:y="2747"/>
        <w:widowControl w:val="0"/>
        <w:shd w:val="clear" w:color="auto" w:fill="auto"/>
        <w:bidi w:val="0"/>
        <w:spacing w:before="0" w:after="0"/>
        <w:ind w:left="1560" w:right="5880" w:firstLine="0"/>
        <w:jc w:val="left"/>
      </w:pPr>
      <w:r>
        <w:rPr>
          <w:color w:val="000000"/>
          <w:spacing w:val="0"/>
          <w:w w:val="100"/>
          <w:position w:val="0"/>
          <w:shd w:val="clear" w:color="auto" w:fill="auto"/>
          <w:lang w:val="ru-RU" w:eastAsia="ru-RU" w:bidi="ru-RU"/>
        </w:rPr>
        <w:t>УПРАВЛЕНИЕ</w:t>
      </w:r>
    </w:p>
    <w:p>
      <w:pPr>
        <w:pStyle w:val="Style7"/>
        <w:keepNext w:val="0"/>
        <w:keepLines w:val="0"/>
        <w:framePr w:w="10306" w:h="1099" w:hRule="exact" w:wrap="none" w:vAnchor="page" w:hAnchor="page" w:x="789" w:y="2747"/>
        <w:widowControl w:val="0"/>
        <w:shd w:val="clear" w:color="auto" w:fill="auto"/>
        <w:bidi w:val="0"/>
        <w:spacing w:before="0" w:after="0"/>
        <w:ind w:left="240" w:right="5880" w:firstLine="20"/>
        <w:jc w:val="left"/>
      </w:pPr>
      <w:r>
        <w:rPr>
          <w:color w:val="000000"/>
          <w:spacing w:val="0"/>
          <w:w w:val="100"/>
          <w:position w:val="0"/>
          <w:shd w:val="clear" w:color="auto" w:fill="auto"/>
          <w:lang w:val="ru-RU" w:eastAsia="ru-RU" w:bidi="ru-RU"/>
        </w:rPr>
        <w:t>ПРЕЗИДЕНТА РОССИЙСКОЙ ФЕДЕРАЦИИ</w:t>
        <w:br/>
        <w:t>ПО РАБОТЕ С ОБРАЩЕНИЯМИ ГРАЖДАН</w:t>
        <w:br/>
        <w:t>И ОРГАНИЗАЦИЙ</w:t>
      </w:r>
    </w:p>
    <w:p>
      <w:pPr>
        <w:pStyle w:val="Style9"/>
        <w:keepNext w:val="0"/>
        <w:keepLines w:val="0"/>
        <w:framePr w:w="10306" w:h="1651" w:hRule="exact" w:wrap="none" w:vAnchor="page" w:hAnchor="page" w:x="789" w:y="4163"/>
        <w:widowControl w:val="0"/>
        <w:shd w:val="clear" w:color="auto" w:fill="auto"/>
        <w:bidi w:val="0"/>
        <w:spacing w:before="0" w:line="240" w:lineRule="auto"/>
        <w:ind w:left="5" w:right="5679" w:firstLine="0"/>
        <w:jc w:val="both"/>
      </w:pPr>
      <w:r>
        <w:rPr>
          <w:color w:val="000000"/>
          <w:spacing w:val="0"/>
          <w:w w:val="100"/>
          <w:position w:val="0"/>
          <w:shd w:val="clear" w:color="auto" w:fill="auto"/>
          <w:lang w:val="ru-RU" w:eastAsia="ru-RU" w:bidi="ru-RU"/>
        </w:rPr>
        <w:t>ул. Ильинка, д. 23, Москва, Российская Федерация, 103132</w:t>
      </w:r>
    </w:p>
    <w:p>
      <w:pPr>
        <w:pStyle w:val="Style11"/>
        <w:keepNext w:val="0"/>
        <w:keepLines w:val="0"/>
        <w:framePr w:w="10306" w:h="1651" w:hRule="exact" w:wrap="none" w:vAnchor="page" w:hAnchor="page" w:x="789" w:y="4163"/>
        <w:widowControl w:val="0"/>
        <w:shd w:val="clear" w:color="auto" w:fill="auto"/>
        <w:tabs>
          <w:tab w:leader="underscore" w:pos="1761" w:val="left"/>
        </w:tabs>
        <w:bidi w:val="0"/>
        <w:spacing w:before="0" w:after="240" w:line="240" w:lineRule="auto"/>
        <w:ind w:left="0" w:right="5679" w:firstLine="220"/>
        <w:jc w:val="left"/>
        <w:rPr>
          <w:sz w:val="28"/>
          <w:szCs w:val="28"/>
        </w:rPr>
      </w:pPr>
      <w:r>
        <w:rPr>
          <w:color w:val="000000"/>
          <w:spacing w:val="0"/>
          <w:w w:val="100"/>
          <w:position w:val="0"/>
          <w:sz w:val="28"/>
          <w:szCs w:val="28"/>
          <w:shd w:val="clear" w:color="auto" w:fill="auto"/>
          <w:lang w:val="ru-RU" w:eastAsia="ru-RU" w:bidi="ru-RU"/>
        </w:rPr>
        <w:t xml:space="preserve">« </w:t>
      </w:r>
      <w:r>
        <w:rPr>
          <w:color w:val="000000"/>
          <w:spacing w:val="0"/>
          <w:w w:val="100"/>
          <w:position w:val="0"/>
          <w:sz w:val="28"/>
          <w:szCs w:val="28"/>
          <w:u w:val="single"/>
          <w:shd w:val="clear" w:color="auto" w:fill="auto"/>
          <w:lang w:val="ru-RU" w:eastAsia="ru-RU" w:bidi="ru-RU"/>
        </w:rPr>
        <w:t>27</w:t>
      </w:r>
      <w:r>
        <w:rPr>
          <w:color w:val="000000"/>
          <w:spacing w:val="0"/>
          <w:w w:val="100"/>
          <w:position w:val="0"/>
          <w:sz w:val="28"/>
          <w:szCs w:val="28"/>
          <w:shd w:val="clear" w:color="auto" w:fill="auto"/>
          <w:lang w:val="ru-RU" w:eastAsia="ru-RU" w:bidi="ru-RU"/>
        </w:rPr>
        <w:t xml:space="preserve"> »</w:t>
        <w:tab/>
      </w:r>
      <w:r>
        <w:rPr>
          <w:color w:val="000000"/>
          <w:spacing w:val="0"/>
          <w:w w:val="100"/>
          <w:position w:val="0"/>
          <w:sz w:val="28"/>
          <w:szCs w:val="28"/>
          <w:u w:val="single"/>
          <w:shd w:val="clear" w:color="auto" w:fill="auto"/>
          <w:lang w:val="ru-RU" w:eastAsia="ru-RU" w:bidi="ru-RU"/>
        </w:rPr>
        <w:t>декабря 2</w:t>
      </w:r>
      <w:r>
        <w:rPr>
          <w:color w:val="000000"/>
          <w:spacing w:val="0"/>
          <w:w w:val="100"/>
          <w:position w:val="0"/>
          <w:sz w:val="28"/>
          <w:szCs w:val="28"/>
          <w:shd w:val="clear" w:color="auto" w:fill="auto"/>
          <w:lang w:val="ru-RU" w:eastAsia="ru-RU" w:bidi="ru-RU"/>
        </w:rPr>
        <w:t xml:space="preserve">0 </w:t>
      </w:r>
      <w:r>
        <w:rPr>
          <w:color w:val="000000"/>
          <w:spacing w:val="0"/>
          <w:w w:val="100"/>
          <w:position w:val="0"/>
          <w:sz w:val="28"/>
          <w:szCs w:val="28"/>
          <w:u w:val="single"/>
          <w:shd w:val="clear" w:color="auto" w:fill="auto"/>
          <w:lang w:val="ru-RU" w:eastAsia="ru-RU" w:bidi="ru-RU"/>
        </w:rPr>
        <w:t>21</w:t>
      </w:r>
      <w:r>
        <w:rPr>
          <w:color w:val="000000"/>
          <w:spacing w:val="0"/>
          <w:w w:val="100"/>
          <w:position w:val="0"/>
          <w:sz w:val="28"/>
          <w:szCs w:val="28"/>
          <w:shd w:val="clear" w:color="auto" w:fill="auto"/>
          <w:lang w:val="ru-RU" w:eastAsia="ru-RU" w:bidi="ru-RU"/>
        </w:rPr>
        <w:t xml:space="preserve"> г.</w:t>
      </w:r>
    </w:p>
    <w:p>
      <w:pPr>
        <w:pStyle w:val="Style11"/>
        <w:keepNext w:val="0"/>
        <w:keepLines w:val="0"/>
        <w:framePr w:w="10306" w:h="1651" w:hRule="exact" w:wrap="none" w:vAnchor="page" w:hAnchor="page" w:x="789" w:y="4163"/>
        <w:widowControl w:val="0"/>
        <w:shd w:val="clear" w:color="auto" w:fill="auto"/>
        <w:bidi w:val="0"/>
        <w:spacing w:before="0" w:after="0" w:line="240" w:lineRule="auto"/>
        <w:ind w:left="0" w:right="5679" w:firstLine="460"/>
        <w:jc w:val="left"/>
        <w:rPr>
          <w:sz w:val="28"/>
          <w:szCs w:val="28"/>
        </w:rPr>
      </w:pPr>
      <w:r>
        <w:rPr>
          <w:color w:val="000000"/>
          <w:spacing w:val="0"/>
          <w:w w:val="100"/>
          <w:position w:val="0"/>
          <w:sz w:val="28"/>
          <w:szCs w:val="28"/>
          <w:shd w:val="clear" w:color="auto" w:fill="auto"/>
          <w:lang w:val="ru-RU" w:eastAsia="ru-RU" w:bidi="ru-RU"/>
        </w:rPr>
        <w:t>№ А26-08-145816291</w:t>
      </w:r>
    </w:p>
    <w:p>
      <w:pPr>
        <w:pStyle w:val="Style7"/>
        <w:keepNext w:val="0"/>
        <w:keepLines w:val="0"/>
        <w:framePr w:w="1752" w:h="811" w:hRule="exact" w:wrap="none" w:vAnchor="page" w:hAnchor="page" w:x="6693" w:y="3194"/>
        <w:widowControl w:val="0"/>
        <w:shd w:val="clear" w:color="auto" w:fill="auto"/>
        <w:bidi w:val="0"/>
        <w:spacing w:before="0" w:after="240" w:line="240" w:lineRule="auto"/>
        <w:ind w:left="10" w:right="29" w:firstLine="0"/>
        <w:jc w:val="left"/>
        <w:rPr>
          <w:sz w:val="22"/>
          <w:szCs w:val="22"/>
        </w:rPr>
      </w:pPr>
      <w:r>
        <w:rPr>
          <w:b w:val="0"/>
          <w:bCs w:val="0"/>
          <w:color w:val="000000"/>
          <w:spacing w:val="0"/>
          <w:w w:val="100"/>
          <w:position w:val="0"/>
          <w:sz w:val="22"/>
          <w:szCs w:val="22"/>
          <w:shd w:val="clear" w:color="auto" w:fill="auto"/>
          <w:lang w:val="ru-RU" w:eastAsia="ru-RU" w:bidi="ru-RU"/>
        </w:rPr>
        <w:t>НАСИБУЛА Я.Л.</w:t>
      </w:r>
    </w:p>
    <w:p>
      <w:pPr>
        <w:pStyle w:val="Style7"/>
        <w:keepNext w:val="0"/>
        <w:keepLines w:val="0"/>
        <w:framePr w:w="1752" w:h="811" w:hRule="exact" w:wrap="none" w:vAnchor="page" w:hAnchor="page" w:x="6693" w:y="3194"/>
        <w:widowControl w:val="0"/>
        <w:shd w:val="clear" w:color="auto" w:fill="auto"/>
        <w:bidi w:val="0"/>
        <w:spacing w:before="0" w:after="0" w:line="240" w:lineRule="auto"/>
        <w:ind w:left="10" w:right="29" w:firstLine="0"/>
        <w:jc w:val="left"/>
        <w:rPr>
          <w:sz w:val="22"/>
          <w:szCs w:val="22"/>
        </w:rPr>
      </w:pPr>
      <w:r>
        <w:fldChar w:fldCharType="begin"/>
      </w:r>
      <w:r>
        <w:rPr/>
        <w:instrText> HYPERLINK "mailto:nasibula@mail.ru" </w:instrText>
      </w:r>
      <w:r>
        <w:fldChar w:fldCharType="separate"/>
      </w:r>
      <w:r>
        <w:rPr>
          <w:b w:val="0"/>
          <w:bCs w:val="0"/>
          <w:color w:val="000000"/>
          <w:spacing w:val="0"/>
          <w:w w:val="100"/>
          <w:position w:val="0"/>
          <w:sz w:val="22"/>
          <w:szCs w:val="22"/>
          <w:shd w:val="clear" w:color="auto" w:fill="auto"/>
          <w:lang w:val="en-US" w:eastAsia="en-US" w:bidi="en-US"/>
        </w:rPr>
        <w:t>nasibula@mail.ru</w:t>
      </w:r>
      <w:r>
        <w:fldChar w:fldCharType="end"/>
      </w:r>
    </w:p>
    <w:p>
      <w:pPr>
        <w:framePr w:wrap="none" w:vAnchor="page" w:hAnchor="page" w:x="7801" w:y="4538"/>
        <w:widowControl w:val="0"/>
        <w:rPr>
          <w:sz w:val="2"/>
          <w:szCs w:val="2"/>
        </w:rPr>
      </w:pPr>
      <w:r>
        <w:drawing>
          <wp:inline>
            <wp:extent cx="1835150" cy="39624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1835150" cy="396240"/>
                    </a:xfrm>
                    <a:prstGeom prst="rect"/>
                  </pic:spPr>
                </pic:pic>
              </a:graphicData>
            </a:graphic>
          </wp:inline>
        </w:drawing>
      </w:r>
    </w:p>
    <w:p>
      <w:pPr>
        <w:pStyle w:val="Style11"/>
        <w:keepNext w:val="0"/>
        <w:keepLines w:val="0"/>
        <w:framePr w:w="10306" w:h="9322" w:hRule="exact" w:wrap="none" w:vAnchor="page" w:hAnchor="page" w:x="789" w:y="6539"/>
        <w:widowControl w:val="0"/>
        <w:shd w:val="clear" w:color="auto" w:fill="auto"/>
        <w:bidi w:val="0"/>
        <w:spacing w:before="0" w:after="0" w:line="240" w:lineRule="auto"/>
        <w:ind w:left="880" w:right="0" w:firstLine="720"/>
        <w:jc w:val="both"/>
      </w:pPr>
      <w:r>
        <w:rPr>
          <w:color w:val="000000"/>
          <w:spacing w:val="0"/>
          <w:w w:val="100"/>
          <w:position w:val="0"/>
          <w:shd w:val="clear" w:color="auto" w:fill="auto"/>
          <w:lang w:val="ru-RU" w:eastAsia="ru-RU" w:bidi="ru-RU"/>
        </w:rPr>
        <w:t>Ваше обращение, поступившее на имя Президента Российской Федерации 08.11.2021 г. в форме электронного документа и зарегистрированное 08.11.2021 г. за № 1458162, рассмотрено.</w:t>
      </w:r>
    </w:p>
    <w:p>
      <w:pPr>
        <w:pStyle w:val="Style11"/>
        <w:keepNext w:val="0"/>
        <w:keepLines w:val="0"/>
        <w:framePr w:w="10306" w:h="9322" w:hRule="exact" w:wrap="none" w:vAnchor="page" w:hAnchor="page" w:x="789" w:y="6539"/>
        <w:widowControl w:val="0"/>
        <w:shd w:val="clear" w:color="auto" w:fill="auto"/>
        <w:bidi w:val="0"/>
        <w:spacing w:before="0" w:after="0" w:line="240" w:lineRule="auto"/>
        <w:ind w:left="880" w:right="0" w:firstLine="720"/>
        <w:jc w:val="both"/>
      </w:pPr>
      <w:r>
        <w:rPr>
          <w:color w:val="000000"/>
          <w:spacing w:val="0"/>
          <w:w w:val="100"/>
          <w:position w:val="0"/>
          <w:shd w:val="clear" w:color="auto" w:fill="auto"/>
          <w:lang w:val="ru-RU" w:eastAsia="ru-RU" w:bidi="ru-RU"/>
        </w:rPr>
        <w:t>В целях рассмотрения Вашего обращения в Министерстве финансов Российской Федерации были запрошены необходимые документы и материалы.</w:t>
      </w:r>
    </w:p>
    <w:p>
      <w:pPr>
        <w:pStyle w:val="Style11"/>
        <w:keepNext w:val="0"/>
        <w:keepLines w:val="0"/>
        <w:framePr w:w="10306" w:h="9322" w:hRule="exact" w:wrap="none" w:vAnchor="page" w:hAnchor="page" w:x="789" w:y="6539"/>
        <w:widowControl w:val="0"/>
        <w:shd w:val="clear" w:color="auto" w:fill="auto"/>
        <w:bidi w:val="0"/>
        <w:spacing w:before="0" w:after="0" w:line="240" w:lineRule="auto"/>
        <w:ind w:left="1560" w:right="0" w:firstLine="0"/>
        <w:jc w:val="both"/>
      </w:pPr>
      <w:r>
        <w:rPr>
          <w:color w:val="000000"/>
          <w:spacing w:val="0"/>
          <w:w w:val="100"/>
          <w:position w:val="0"/>
          <w:shd w:val="clear" w:color="auto" w:fill="auto"/>
          <w:lang w:val="ru-RU" w:eastAsia="ru-RU" w:bidi="ru-RU"/>
        </w:rPr>
        <w:t>На основании полученной информации сообщаем следующее:</w:t>
      </w:r>
    </w:p>
    <w:p>
      <w:pPr>
        <w:pStyle w:val="Style11"/>
        <w:keepNext w:val="0"/>
        <w:keepLines w:val="0"/>
        <w:framePr w:w="10306" w:h="9322" w:hRule="exact" w:wrap="none" w:vAnchor="page" w:hAnchor="page" w:x="789" w:y="6539"/>
        <w:widowControl w:val="0"/>
        <w:shd w:val="clear" w:color="auto" w:fill="auto"/>
        <w:bidi w:val="0"/>
        <w:spacing w:before="0" w:after="0" w:line="240" w:lineRule="auto"/>
        <w:ind w:left="880" w:right="0" w:firstLine="720"/>
        <w:jc w:val="both"/>
      </w:pPr>
      <w:r>
        <w:rPr>
          <w:color w:val="000000"/>
          <w:spacing w:val="0"/>
          <w:w w:val="100"/>
          <w:position w:val="0"/>
          <w:shd w:val="clear" w:color="auto" w:fill="auto"/>
          <w:lang w:val="ru-RU" w:eastAsia="ru-RU" w:bidi="ru-RU"/>
        </w:rPr>
        <w:t>«В 2012 году была осуществлена реформа денежного довольствия военнослужащих, в результате которой произошло существенное (в 2-3 раза) повышение денежного довольствия. При этом применение новых размеров окладов при исчислении военных пенсий создало бы ситуацию, при которой средний размер «военной» пенсии в 3 и более раз превышал бы размер средней «гражданской» пенсии.</w:t>
      </w:r>
    </w:p>
    <w:p>
      <w:pPr>
        <w:pStyle w:val="Style11"/>
        <w:keepNext w:val="0"/>
        <w:keepLines w:val="0"/>
        <w:framePr w:w="10306" w:h="9322" w:hRule="exact" w:wrap="none" w:vAnchor="page" w:hAnchor="page" w:x="789" w:y="6539"/>
        <w:widowControl w:val="0"/>
        <w:shd w:val="clear" w:color="auto" w:fill="auto"/>
        <w:bidi w:val="0"/>
        <w:spacing w:before="0" w:after="0" w:line="240" w:lineRule="auto"/>
        <w:ind w:left="880" w:right="0" w:firstLine="720"/>
        <w:jc w:val="both"/>
      </w:pPr>
      <w:r>
        <w:rPr>
          <w:color w:val="000000"/>
          <w:spacing w:val="0"/>
          <w:w w:val="100"/>
          <w:position w:val="0"/>
          <w:shd w:val="clear" w:color="auto" w:fill="auto"/>
          <w:lang w:val="ru-RU" w:eastAsia="ru-RU" w:bidi="ru-RU"/>
        </w:rPr>
        <w:t>Во избежание такого разрыва было принято решение, установленное частью 2 статьи 43 Закона Российской Федерации от 12 февраля 1993 г.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(далее - Закон № 4468-1), о том, что денежное довольствие для исчисления «военной» пенсии с 1 января 2012 года учитывается в размере 54 процентов, и начиная с 1 января 2013 года ежегодно увеличивается на 2 процента до достижения 100 процентов его размера.</w:t>
      </w:r>
    </w:p>
    <w:p>
      <w:pPr>
        <w:pStyle w:val="Style11"/>
        <w:keepNext w:val="0"/>
        <w:keepLines w:val="0"/>
        <w:framePr w:w="10306" w:h="9322" w:hRule="exact" w:wrap="none" w:vAnchor="page" w:hAnchor="page" w:x="789" w:y="6539"/>
        <w:widowControl w:val="0"/>
        <w:shd w:val="clear" w:color="auto" w:fill="auto"/>
        <w:bidi w:val="0"/>
        <w:spacing w:before="0" w:after="0" w:line="240" w:lineRule="auto"/>
        <w:ind w:left="880" w:right="0" w:firstLine="720"/>
        <w:jc w:val="both"/>
      </w:pPr>
      <w:r>
        <w:rPr>
          <w:color w:val="000000"/>
          <w:spacing w:val="0"/>
          <w:w w:val="100"/>
          <w:position w:val="0"/>
          <w:shd w:val="clear" w:color="auto" w:fill="auto"/>
          <w:lang w:val="ru-RU" w:eastAsia="ru-RU" w:bidi="ru-RU"/>
        </w:rPr>
        <w:t>Данное положение никак не ухудшило положение граждан, уволенных с военной службы (далее - военные пенсионеры), что было подтверждено решениями высших судов (например, Определение Конституционного Суда Российской Федерации от 17 июля 2012 года № 1433-0). Законом № 4468-1 установлен порядок исчисления пенсий, выплачиваемых гражданам, уволенным с военной и приравненной к ней службы.</w:t>
      </w:r>
    </w:p>
    <w:p>
      <w:pPr>
        <w:pStyle w:val="Style11"/>
        <w:keepNext w:val="0"/>
        <w:keepLines w:val="0"/>
        <w:framePr w:w="10306" w:h="9322" w:hRule="exact" w:wrap="none" w:vAnchor="page" w:hAnchor="page" w:x="789" w:y="6539"/>
        <w:widowControl w:val="0"/>
        <w:shd w:val="clear" w:color="auto" w:fill="auto"/>
        <w:bidi w:val="0"/>
        <w:spacing w:before="0" w:after="0" w:line="240" w:lineRule="auto"/>
        <w:ind w:left="880" w:right="0" w:firstLine="720"/>
        <w:jc w:val="both"/>
      </w:pPr>
      <w:r>
        <w:rPr>
          <w:color w:val="000000"/>
          <w:spacing w:val="0"/>
          <w:w w:val="100"/>
          <w:position w:val="0"/>
          <w:shd w:val="clear" w:color="auto" w:fill="auto"/>
          <w:lang w:val="ru-RU" w:eastAsia="ru-RU" w:bidi="ru-RU"/>
        </w:rPr>
        <w:t>При этом Законом № 4468-1 предусмотрена возможность дополнительного ежегодного увеличения пенсий «военных» пенсионеров.</w:t>
      </w:r>
    </w:p>
    <w:p>
      <w:pPr>
        <w:pStyle w:val="Style16"/>
        <w:keepNext w:val="0"/>
        <w:keepLines w:val="0"/>
        <w:framePr w:wrap="none" w:vAnchor="page" w:hAnchor="page" w:x="1672" w:y="1596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1458162</w:t>
      </w:r>
    </w:p>
    <w:p>
      <w:pPr>
        <w:pStyle w:val="Style16"/>
        <w:keepNext w:val="0"/>
        <w:keepLines w:val="0"/>
        <w:framePr w:wrap="none" w:vAnchor="page" w:hAnchor="page" w:x="10129" w:y="1596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Страница 1 из 3</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11"/>
        <w:keepNext w:val="0"/>
        <w:keepLines w:val="0"/>
        <w:framePr w:w="10306" w:h="15302" w:hRule="exact" w:wrap="none" w:vAnchor="page" w:hAnchor="page" w:x="789" w:y="451"/>
        <w:widowControl w:val="0"/>
        <w:shd w:val="clear" w:color="auto" w:fill="auto"/>
        <w:bidi w:val="0"/>
        <w:spacing w:before="0" w:after="0" w:line="240" w:lineRule="auto"/>
        <w:ind w:left="880" w:right="0" w:firstLine="720"/>
        <w:jc w:val="both"/>
      </w:pPr>
      <w:r>
        <w:rPr>
          <w:color w:val="000000"/>
          <w:spacing w:val="0"/>
          <w:w w:val="100"/>
          <w:position w:val="0"/>
          <w:shd w:val="clear" w:color="auto" w:fill="auto"/>
          <w:lang w:val="ru-RU" w:eastAsia="ru-RU" w:bidi="ru-RU"/>
        </w:rPr>
        <w:t>При безусловном исполнении Закона № 4468-1 размер денежного довольствия, учитываемого для исчисления пенсии, к 1 января 2022 года должен был достигнуть уровня 74 процентов.</w:t>
      </w:r>
    </w:p>
    <w:p>
      <w:pPr>
        <w:pStyle w:val="Style11"/>
        <w:keepNext w:val="0"/>
        <w:keepLines w:val="0"/>
        <w:framePr w:w="10306" w:h="15302" w:hRule="exact" w:wrap="none" w:vAnchor="page" w:hAnchor="page" w:x="789" w:y="451"/>
        <w:widowControl w:val="0"/>
        <w:shd w:val="clear" w:color="auto" w:fill="auto"/>
        <w:bidi w:val="0"/>
        <w:spacing w:before="0" w:after="0" w:line="240" w:lineRule="auto"/>
        <w:ind w:left="880" w:right="0" w:firstLine="720"/>
        <w:jc w:val="both"/>
      </w:pPr>
      <w:r>
        <w:rPr>
          <w:color w:val="000000"/>
          <w:spacing w:val="0"/>
          <w:w w:val="100"/>
          <w:position w:val="0"/>
          <w:shd w:val="clear" w:color="auto" w:fill="auto"/>
          <w:lang w:val="ru-RU" w:eastAsia="ru-RU" w:bidi="ru-RU"/>
        </w:rPr>
        <w:t>В проекте федерального закона № 1258295-7 «О федеральном бюджете на 2022 год и на плановый период 2023 и 2024 годы» (далее - законопроект) учтены бюджетные ассигнования на увеличение размера денежного довольствия, учитываемого для исчисления пенсии, с 1 января 2022 года с 73,68 процента до 74,0 процентов.</w:t>
      </w:r>
    </w:p>
    <w:p>
      <w:pPr>
        <w:pStyle w:val="Style11"/>
        <w:keepNext w:val="0"/>
        <w:keepLines w:val="0"/>
        <w:framePr w:w="10306" w:h="15302" w:hRule="exact" w:wrap="none" w:vAnchor="page" w:hAnchor="page" w:x="789" w:y="451"/>
        <w:widowControl w:val="0"/>
        <w:shd w:val="clear" w:color="auto" w:fill="auto"/>
        <w:bidi w:val="0"/>
        <w:spacing w:before="0" w:after="0" w:line="240" w:lineRule="auto"/>
        <w:ind w:left="880" w:right="0" w:firstLine="720"/>
        <w:jc w:val="both"/>
      </w:pPr>
      <w:r>
        <w:rPr>
          <w:color w:val="000000"/>
          <w:spacing w:val="0"/>
          <w:w w:val="100"/>
          <w:position w:val="0"/>
          <w:shd w:val="clear" w:color="auto" w:fill="auto"/>
          <w:lang w:val="ru-RU" w:eastAsia="ru-RU" w:bidi="ru-RU"/>
        </w:rPr>
        <w:t>В соответствии со статьей 49 Закона № 4468-1 пенсии гражданам, уволенным с военной и приравненной к ней службы, подлежат пересмотру одновременно с увеличением денежного довольствия военнослужащих и сотрудников.</w:t>
      </w:r>
    </w:p>
    <w:p>
      <w:pPr>
        <w:pStyle w:val="Style11"/>
        <w:keepNext w:val="0"/>
        <w:keepLines w:val="0"/>
        <w:framePr w:w="10306" w:h="15302" w:hRule="exact" w:wrap="none" w:vAnchor="page" w:hAnchor="page" w:x="789" w:y="451"/>
        <w:widowControl w:val="0"/>
        <w:shd w:val="clear" w:color="auto" w:fill="auto"/>
        <w:bidi w:val="0"/>
        <w:spacing w:before="0" w:after="0" w:line="240" w:lineRule="auto"/>
        <w:ind w:left="880" w:right="0" w:firstLine="720"/>
        <w:jc w:val="both"/>
      </w:pPr>
      <w:r>
        <w:rPr>
          <w:color w:val="000000"/>
          <w:spacing w:val="0"/>
          <w:w w:val="100"/>
          <w:position w:val="0"/>
          <w:shd w:val="clear" w:color="auto" w:fill="auto"/>
          <w:lang w:val="ru-RU" w:eastAsia="ru-RU" w:bidi="ru-RU"/>
        </w:rPr>
        <w:t>Поскольку денежное довольствие военнослужащих и сотрудников с 1 октября 2021 года проиндексировано на 3,7 процента, учитывая указанную норму Закона № 4468-1, «военные» пенсии с 1 октября 2021 года увеличены на 3,7 процента.</w:t>
      </w:r>
    </w:p>
    <w:p>
      <w:pPr>
        <w:pStyle w:val="Style11"/>
        <w:keepNext w:val="0"/>
        <w:keepLines w:val="0"/>
        <w:framePr w:w="10306" w:h="15302" w:hRule="exact" w:wrap="none" w:vAnchor="page" w:hAnchor="page" w:x="789" w:y="451"/>
        <w:widowControl w:val="0"/>
        <w:shd w:val="clear" w:color="auto" w:fill="auto"/>
        <w:bidi w:val="0"/>
        <w:spacing w:before="0" w:after="0" w:line="240" w:lineRule="auto"/>
        <w:ind w:left="880" w:right="0" w:firstLine="720"/>
        <w:jc w:val="both"/>
      </w:pPr>
      <w:r>
        <w:rPr>
          <w:color w:val="000000"/>
          <w:spacing w:val="0"/>
          <w:w w:val="100"/>
          <w:position w:val="0"/>
          <w:shd w:val="clear" w:color="auto" w:fill="auto"/>
          <w:lang w:val="ru-RU" w:eastAsia="ru-RU" w:bidi="ru-RU"/>
        </w:rPr>
        <w:t>В Федеральном законе от 8 декабря 2020 года № 385-ФЗ «О федеральном бюджете на 2021 год и на плановый период 2022 и 2023 годов» бюджетные ассигнования на указанное повышение пенсий предусмотрены в полном объеме.</w:t>
      </w:r>
    </w:p>
    <w:p>
      <w:pPr>
        <w:pStyle w:val="Style11"/>
        <w:keepNext w:val="0"/>
        <w:keepLines w:val="0"/>
        <w:framePr w:w="10306" w:h="15302" w:hRule="exact" w:wrap="none" w:vAnchor="page" w:hAnchor="page" w:x="789" w:y="451"/>
        <w:widowControl w:val="0"/>
        <w:shd w:val="clear" w:color="auto" w:fill="auto"/>
        <w:bidi w:val="0"/>
        <w:spacing w:before="0" w:after="0" w:line="240" w:lineRule="auto"/>
        <w:ind w:left="880" w:right="0" w:firstLine="720"/>
        <w:jc w:val="both"/>
      </w:pPr>
      <w:r>
        <w:rPr>
          <w:color w:val="000000"/>
          <w:spacing w:val="0"/>
          <w:w w:val="100"/>
          <w:position w:val="0"/>
          <w:shd w:val="clear" w:color="auto" w:fill="auto"/>
          <w:lang w:val="ru-RU" w:eastAsia="ru-RU" w:bidi="ru-RU"/>
        </w:rPr>
        <w:t>В законопроекте учтены бюджетные ассигнования на увеличение денежного довольствия военнослужащих и сотрудников с 1 октября 2022 года на 4,0 процента, соответственно, «военные» пенсии с 1 октября 2022 года будут также увеличены на 4,0 процента.</w:t>
      </w:r>
    </w:p>
    <w:p>
      <w:pPr>
        <w:pStyle w:val="Style11"/>
        <w:keepNext w:val="0"/>
        <w:keepLines w:val="0"/>
        <w:framePr w:w="10306" w:h="15302" w:hRule="exact" w:wrap="none" w:vAnchor="page" w:hAnchor="page" w:x="789" w:y="451"/>
        <w:widowControl w:val="0"/>
        <w:shd w:val="clear" w:color="auto" w:fill="auto"/>
        <w:bidi w:val="0"/>
        <w:spacing w:before="0" w:after="0" w:line="240" w:lineRule="auto"/>
        <w:ind w:left="880" w:right="0" w:firstLine="720"/>
        <w:jc w:val="both"/>
      </w:pPr>
      <w:r>
        <w:rPr>
          <w:color w:val="000000"/>
          <w:spacing w:val="0"/>
          <w:w w:val="100"/>
          <w:position w:val="0"/>
          <w:shd w:val="clear" w:color="auto" w:fill="auto"/>
          <w:lang w:val="ru-RU" w:eastAsia="ru-RU" w:bidi="ru-RU"/>
        </w:rPr>
        <w:t>Кроме того, в соответствии с решением Президента Российской Федерации В.В. Путина, предусмотрены дополнительные бюджетные ассигнования на индексацию с 1 октября 2023 года окладов денежного содержания военнослужащих (сотрудников) на 5 процентов сверх предусмотренного уровня с одновременным увеличением «военных» пенсий.</w:t>
      </w:r>
    </w:p>
    <w:p>
      <w:pPr>
        <w:pStyle w:val="Style11"/>
        <w:keepNext w:val="0"/>
        <w:keepLines w:val="0"/>
        <w:framePr w:w="10306" w:h="15302" w:hRule="exact" w:wrap="none" w:vAnchor="page" w:hAnchor="page" w:x="789" w:y="451"/>
        <w:widowControl w:val="0"/>
        <w:shd w:val="clear" w:color="auto" w:fill="auto"/>
        <w:bidi w:val="0"/>
        <w:spacing w:before="0" w:after="0" w:line="240" w:lineRule="auto"/>
        <w:ind w:left="880" w:right="0" w:firstLine="720"/>
        <w:jc w:val="both"/>
      </w:pPr>
      <w:r>
        <w:rPr>
          <w:color w:val="000000"/>
          <w:spacing w:val="0"/>
          <w:w w:val="100"/>
          <w:position w:val="0"/>
          <w:shd w:val="clear" w:color="auto" w:fill="auto"/>
          <w:lang w:val="ru-RU" w:eastAsia="ru-RU" w:bidi="ru-RU"/>
        </w:rPr>
        <w:t>Таким образом, «военные» пенсии с 1 октября 2023 года будут увеличены на 9 процентов.</w:t>
      </w:r>
    </w:p>
    <w:p>
      <w:pPr>
        <w:pStyle w:val="Style11"/>
        <w:keepNext w:val="0"/>
        <w:keepLines w:val="0"/>
        <w:framePr w:w="10306" w:h="15302" w:hRule="exact" w:wrap="none" w:vAnchor="page" w:hAnchor="page" w:x="789" w:y="451"/>
        <w:widowControl w:val="0"/>
        <w:shd w:val="clear" w:color="auto" w:fill="auto"/>
        <w:bidi w:val="0"/>
        <w:spacing w:before="0" w:after="0" w:line="240" w:lineRule="auto"/>
        <w:ind w:left="880" w:right="0" w:firstLine="720"/>
        <w:jc w:val="both"/>
      </w:pPr>
      <w:r>
        <w:rPr>
          <w:color w:val="000000"/>
          <w:spacing w:val="0"/>
          <w:w w:val="100"/>
          <w:position w:val="0"/>
          <w:shd w:val="clear" w:color="auto" w:fill="auto"/>
          <w:lang w:val="ru-RU" w:eastAsia="ru-RU" w:bidi="ru-RU"/>
        </w:rPr>
        <w:t>Вместе с тем, рост «военных» пенсий с 2011 по 2022 год составит в 3 раза, а «гражданские» пенсии за этот период вырастут в 2 раза. При этом сохраняется превышение размера «военных» пенсий над размером «гражданских» пенсий в 1,8 раза.</w:t>
      </w:r>
    </w:p>
    <w:p>
      <w:pPr>
        <w:pStyle w:val="Style11"/>
        <w:keepNext w:val="0"/>
        <w:keepLines w:val="0"/>
        <w:framePr w:w="10306" w:h="15302" w:hRule="exact" w:wrap="none" w:vAnchor="page" w:hAnchor="page" w:x="789" w:y="451"/>
        <w:widowControl w:val="0"/>
        <w:shd w:val="clear" w:color="auto" w:fill="auto"/>
        <w:bidi w:val="0"/>
        <w:spacing w:before="0" w:after="0" w:line="240" w:lineRule="auto"/>
        <w:ind w:left="880" w:right="0" w:firstLine="720"/>
        <w:jc w:val="both"/>
      </w:pPr>
      <w:r>
        <w:rPr>
          <w:color w:val="000000"/>
          <w:spacing w:val="0"/>
          <w:w w:val="100"/>
          <w:position w:val="0"/>
          <w:shd w:val="clear" w:color="auto" w:fill="auto"/>
          <w:lang w:val="ru-RU" w:eastAsia="ru-RU" w:bidi="ru-RU"/>
        </w:rPr>
        <w:t>Также необходимо иметь в виду, что в соответствии с Федеральным законом от 28 декабря 2013 года № 400-ФЗ «О страховых пенсиях» исчисление суммы страховой пенсии для работающих пенсионеров, получающих «гражданские» пенсии, происходит без учета индексации (увеличения) страховой пенсии. Такое ограничение для работающих пенсионеров, получающих «военные» пенсии, законодательством не предусмотрено. Кроме того, законодательством предусмотрено увеличение пенсионного возраста граждан на 5 лет, что позволило создать условия для повышения уровня пенсионного обеспечения путем ежегодной индексации пенсий выше уровня инфляции. Таких решений в части «военных» пенсионеров не принималось. Одновременно следует отметить, что в соответствии с Федеральным законом от 30 апреля 2019 года № 66-ФЗ «О внесении изменения в статью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w:t>
        <w:softHyphen/>
        <w:t>исполнительной системы, войсках национальной гвардии Российской Федерации, и их семей» с 1 мая 2019 года размер денежного довольствия, учитываемого при</w:t>
      </w:r>
    </w:p>
    <w:p>
      <w:pPr>
        <w:pStyle w:val="Style16"/>
        <w:keepNext w:val="0"/>
        <w:keepLines w:val="0"/>
        <w:framePr w:wrap="none" w:vAnchor="page" w:hAnchor="page" w:x="1672" w:y="158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1458162</w:t>
      </w:r>
    </w:p>
    <w:p>
      <w:pPr>
        <w:pStyle w:val="Style16"/>
        <w:keepNext w:val="0"/>
        <w:keepLines w:val="0"/>
        <w:framePr w:wrap="none" w:vAnchor="page" w:hAnchor="page" w:x="10129" w:y="158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Страница 2 из 3</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11"/>
        <w:keepNext w:val="0"/>
        <w:keepLines w:val="0"/>
        <w:framePr w:w="10306" w:h="2146" w:hRule="exact" w:wrap="none" w:vAnchor="page" w:hAnchor="page" w:x="789" w:y="583"/>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ru-RU" w:eastAsia="ru-RU" w:bidi="ru-RU"/>
        </w:rPr>
        <w:t>исчислении пенсии в отношении ветеранов Великой Отечественной войны, составил 100 процентов.</w:t>
      </w:r>
    </w:p>
    <w:p>
      <w:pPr>
        <w:pStyle w:val="Style11"/>
        <w:keepNext w:val="0"/>
        <w:keepLines w:val="0"/>
        <w:framePr w:w="10306" w:h="2146" w:hRule="exact" w:wrap="none" w:vAnchor="page" w:hAnchor="page" w:x="789" w:y="583"/>
        <w:widowControl w:val="0"/>
        <w:shd w:val="clear" w:color="auto" w:fill="auto"/>
        <w:bidi w:val="0"/>
        <w:spacing w:before="0" w:after="0" w:line="240" w:lineRule="auto"/>
        <w:ind w:left="860" w:right="0" w:firstLine="740"/>
        <w:jc w:val="both"/>
      </w:pPr>
      <w:r>
        <w:rPr>
          <w:color w:val="000000"/>
          <w:spacing w:val="0"/>
          <w:w w:val="100"/>
          <w:position w:val="0"/>
          <w:shd w:val="clear" w:color="auto" w:fill="auto"/>
          <w:lang w:val="ru-RU" w:eastAsia="ru-RU" w:bidi="ru-RU"/>
        </w:rPr>
        <w:t>Кроме того, в целях оказания дополнительной социальной поддержки пенсионерам был принят Указ Президента Российской Федерации от 24 августа 2021 года № 487 «О единовременной денежной выплате отдельным категориям граждан, получающих пенсию», в соответствии с которым уже в сентябре 2021 года осуществлена единовременная денежная выплата в размере 10 000 рублей».</w:t>
      </w:r>
    </w:p>
    <w:p>
      <w:pPr>
        <w:pStyle w:val="Style11"/>
        <w:keepNext w:val="0"/>
        <w:keepLines w:val="0"/>
        <w:framePr w:w="10306" w:h="946" w:hRule="exact" w:wrap="none" w:vAnchor="page" w:hAnchor="page" w:x="789" w:y="3238"/>
        <w:widowControl w:val="0"/>
        <w:shd w:val="clear" w:color="auto" w:fill="auto"/>
        <w:bidi w:val="0"/>
        <w:spacing w:before="0" w:after="0" w:line="240" w:lineRule="auto"/>
        <w:ind w:left="860" w:right="5789" w:firstLine="20"/>
        <w:jc w:val="left"/>
      </w:pPr>
      <w:r>
        <w:rPr>
          <w:color w:val="000000"/>
          <w:spacing w:val="0"/>
          <w:w w:val="100"/>
          <w:position w:val="0"/>
          <w:shd w:val="clear" w:color="auto" w:fill="auto"/>
          <w:lang w:val="ru-RU" w:eastAsia="ru-RU" w:bidi="ru-RU"/>
        </w:rPr>
        <w:t>Главный советник департамента</w:t>
        <w:br/>
        <w:t>рассмотрения жалоб и правовой</w:t>
        <w:br/>
        <w:t>работы</w:t>
      </w:r>
    </w:p>
    <w:p>
      <w:pPr>
        <w:pStyle w:val="Style11"/>
        <w:keepNext w:val="0"/>
        <w:keepLines w:val="0"/>
        <w:framePr w:wrap="none" w:vAnchor="page" w:hAnchor="page" w:x="9558" w:y="3833"/>
        <w:widowControl w:val="0"/>
        <w:shd w:val="clear" w:color="auto" w:fill="auto"/>
        <w:bidi w:val="0"/>
        <w:spacing w:before="0" w:after="0" w:line="240" w:lineRule="auto"/>
        <w:ind w:left="14" w:right="9" w:firstLine="0"/>
        <w:jc w:val="left"/>
      </w:pPr>
      <w:r>
        <w:rPr>
          <w:color w:val="000000"/>
          <w:spacing w:val="0"/>
          <w:w w:val="100"/>
          <w:position w:val="0"/>
          <w:shd w:val="clear" w:color="auto" w:fill="auto"/>
          <w:lang w:val="ru-RU" w:eastAsia="ru-RU" w:bidi="ru-RU"/>
        </w:rPr>
        <w:t>Н.Кузнецова</w:t>
      </w:r>
    </w:p>
    <w:p>
      <w:pPr>
        <w:pStyle w:val="Style16"/>
        <w:keepNext w:val="0"/>
        <w:keepLines w:val="0"/>
        <w:framePr w:wrap="none" w:vAnchor="page" w:hAnchor="page" w:x="1672" w:y="160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1458162</w:t>
      </w:r>
    </w:p>
    <w:p>
      <w:pPr>
        <w:pStyle w:val="Style16"/>
        <w:keepNext w:val="0"/>
        <w:keepLines w:val="0"/>
        <w:framePr w:wrap="none" w:vAnchor="page" w:hAnchor="page" w:x="10129" w:y="160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Страница 3 из 3</w:t>
      </w:r>
    </w:p>
    <w:p>
      <w:pPr>
        <w:widowControl w:val="0"/>
        <w:spacing w:line="1" w:lineRule="exact"/>
      </w:pPr>
      <w:r>
        <w:drawing>
          <wp:anchor distT="0" distB="0" distL="0" distR="0" simplePos="0" relativeHeight="62914690" behindDoc="1" locked="0" layoutInCell="1" allowOverlap="1">
            <wp:simplePos x="0" y="0"/>
            <wp:positionH relativeFrom="page">
              <wp:posOffset>4965700</wp:posOffset>
            </wp:positionH>
            <wp:positionV relativeFrom="page">
              <wp:posOffset>1921510</wp:posOffset>
            </wp:positionV>
            <wp:extent cx="548640" cy="72517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9"/>
                    <a:stretch/>
                  </pic:blipFill>
                  <pic:spPr>
                    <a:xfrm>
                      <a:ext cx="548640" cy="725170"/>
                    </a:xfrm>
                    <a:prstGeom prst="rect"/>
                  </pic:spPr>
                </pic:pic>
              </a:graphicData>
            </a:graphic>
          </wp:anchor>
        </w:drawing>
      </w:r>
    </w:p>
    <w:sectPr>
      <w:footnotePr>
        <w:pos w:val="pageBottom"/>
        <w:numFmt w:val="decimal"/>
        <w:numRestart w:val="continuous"/>
      </w:footnotePr>
      <w:pgSz w:w="11900" w:h="16840"/>
      <w:pgMar w:top="360" w:left="360" w:right="360" w:bottom="360"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Arial Unicode MS" w:eastAsia="Arial Unicode MS" w:hAnsi="Arial Unicode MS" w:cs="Arial Unicode MS"/>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Arial Unicode MS" w:eastAsia="Arial Unicode MS" w:hAnsi="Arial Unicode MS" w:cs="Arial Unicode MS"/>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Arial Unicode MS" w:eastAsia="Arial Unicode MS" w:hAnsi="Arial Unicode MS" w:cs="Arial Unicode MS"/>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4)_"/>
    <w:basedOn w:val="DefaultParagraphFont"/>
    <w:link w:val="Style5"/>
    <w:rPr>
      <w:rFonts w:ascii="Times New Roman" w:eastAsia="Times New Roman" w:hAnsi="Times New Roman" w:cs="Times New Roman"/>
      <w:b w:val="0"/>
      <w:bCs w:val="0"/>
      <w:i w:val="0"/>
      <w:iCs w:val="0"/>
      <w:smallCaps w:val="0"/>
      <w:strike w:val="0"/>
      <w:sz w:val="18"/>
      <w:szCs w:val="18"/>
      <w:u w:val="none"/>
    </w:rPr>
  </w:style>
  <w:style w:type="character" w:customStyle="1" w:styleId="CharStyle8">
    <w:name w:val="Основной текст (2)_"/>
    <w:basedOn w:val="DefaultParagraphFont"/>
    <w:link w:val="Style7"/>
    <w:rPr>
      <w:rFonts w:ascii="Times New Roman" w:eastAsia="Times New Roman" w:hAnsi="Times New Roman" w:cs="Times New Roman"/>
      <w:b/>
      <w:bCs/>
      <w:i w:val="0"/>
      <w:iCs w:val="0"/>
      <w:smallCaps w:val="0"/>
      <w:strike w:val="0"/>
      <w:sz w:val="20"/>
      <w:szCs w:val="20"/>
      <w:u w:val="none"/>
    </w:rPr>
  </w:style>
  <w:style w:type="character" w:customStyle="1" w:styleId="CharStyle10">
    <w:name w:val="Основной текст (3)_"/>
    <w:basedOn w:val="DefaultParagraphFont"/>
    <w:link w:val="Style9"/>
    <w:rPr>
      <w:rFonts w:ascii="Times New Roman" w:eastAsia="Times New Roman" w:hAnsi="Times New Roman" w:cs="Times New Roman"/>
      <w:b w:val="0"/>
      <w:bCs w:val="0"/>
      <w:i w:val="0"/>
      <w:iCs w:val="0"/>
      <w:smallCaps w:val="0"/>
      <w:strike w:val="0"/>
      <w:sz w:val="16"/>
      <w:szCs w:val="16"/>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Колонтитул_"/>
    <w:basedOn w:val="DefaultParagraphFont"/>
    <w:link w:val="Style16"/>
    <w:rPr>
      <w:rFonts w:ascii="Arial" w:eastAsia="Arial" w:hAnsi="Arial" w:cs="Arial"/>
      <w:b w:val="0"/>
      <w:bCs w:val="0"/>
      <w:i w:val="0"/>
      <w:iCs w:val="0"/>
      <w:smallCaps w:val="0"/>
      <w:strike w:val="0"/>
      <w:sz w:val="12"/>
      <w:szCs w:val="12"/>
      <w:u w:val="none"/>
    </w:rPr>
  </w:style>
  <w:style w:type="paragraph" w:customStyle="1" w:styleId="Style2">
    <w:name w:val="Колонтитул (2)"/>
    <w:basedOn w:val="Normal"/>
    <w:link w:val="CharStyle3"/>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4)"/>
    <w:basedOn w:val="Normal"/>
    <w:link w:val="CharStyle6"/>
    <w:pPr>
      <w:widowControl w:val="0"/>
      <w:shd w:val="clear" w:color="auto" w:fill="FFFFFF"/>
      <w:spacing w:after="80"/>
      <w:ind w:left="610" w:firstLine="500"/>
    </w:pPr>
    <w:rPr>
      <w:rFonts w:ascii="Times New Roman" w:eastAsia="Times New Roman" w:hAnsi="Times New Roman" w:cs="Times New Roman"/>
      <w:b w:val="0"/>
      <w:bCs w:val="0"/>
      <w:i w:val="0"/>
      <w:iCs w:val="0"/>
      <w:smallCaps w:val="0"/>
      <w:strike w:val="0"/>
      <w:sz w:val="18"/>
      <w:szCs w:val="18"/>
      <w:u w:val="none"/>
    </w:rPr>
  </w:style>
  <w:style w:type="paragraph" w:customStyle="1" w:styleId="Style7">
    <w:name w:val="Основной текст (2)"/>
    <w:basedOn w:val="Normal"/>
    <w:link w:val="CharStyle8"/>
    <w:pPr>
      <w:widowControl w:val="0"/>
      <w:shd w:val="clear" w:color="auto" w:fill="FFFFFF"/>
      <w:spacing w:after="290" w:line="276" w:lineRule="auto"/>
      <w:ind w:left="220" w:firstLine="10"/>
    </w:pPr>
    <w:rPr>
      <w:rFonts w:ascii="Times New Roman" w:eastAsia="Times New Roman" w:hAnsi="Times New Roman" w:cs="Times New Roman"/>
      <w:b/>
      <w:bCs/>
      <w:i w:val="0"/>
      <w:iCs w:val="0"/>
      <w:smallCaps w:val="0"/>
      <w:strike w:val="0"/>
      <w:sz w:val="20"/>
      <w:szCs w:val="20"/>
      <w:u w:val="none"/>
    </w:rPr>
  </w:style>
  <w:style w:type="paragraph" w:customStyle="1" w:styleId="Style9">
    <w:name w:val="Основной текст (3)"/>
    <w:basedOn w:val="Normal"/>
    <w:link w:val="CharStyle10"/>
    <w:pPr>
      <w:widowControl w:val="0"/>
      <w:shd w:val="clear" w:color="auto" w:fill="FFFFFF"/>
      <w:spacing w:after="520"/>
    </w:pPr>
    <w:rPr>
      <w:rFonts w:ascii="Times New Roman" w:eastAsia="Times New Roman" w:hAnsi="Times New Roman" w:cs="Times New Roman"/>
      <w:b w:val="0"/>
      <w:bCs w:val="0"/>
      <w:i w:val="0"/>
      <w:iCs w:val="0"/>
      <w:smallCaps w:val="0"/>
      <w:strike w:val="0"/>
      <w:sz w:val="16"/>
      <w:szCs w:val="16"/>
      <w:u w:val="none"/>
    </w:rPr>
  </w:style>
  <w:style w:type="paragraph" w:customStyle="1" w:styleId="Style11">
    <w:name w:val="Основной текст"/>
    <w:basedOn w:val="Normal"/>
    <w:link w:val="CharStyle12"/>
    <w:pPr>
      <w:widowControl w:val="0"/>
      <w:shd w:val="clear" w:color="auto" w:fill="FFFFFF"/>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Колонтитул"/>
    <w:basedOn w:val="Normal"/>
    <w:link w:val="CharStyle17"/>
    <w:pPr>
      <w:widowControl w:val="0"/>
      <w:shd w:val="clear" w:color="auto" w:fill="FFFFFF"/>
    </w:pPr>
    <w:rPr>
      <w:rFonts w:ascii="Arial" w:eastAsia="Arial" w:hAnsi="Arial" w:cs="Arial"/>
      <w:b w:val="0"/>
      <w:bCs w:val="0"/>
      <w:i w:val="0"/>
      <w:iCs w:val="0"/>
      <w:smallCaps w:val="0"/>
      <w:strike w:val="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s>
</file>

<file path=docProps/core.xml><?xml version="1.0" encoding="utf-8"?>
<cp:coreProperties xmlns:cp="http://schemas.openxmlformats.org/package/2006/metadata/core-properties" xmlns:dc="http://purl.org/dc/elements/1.1/">
  <dc:title>АДМИНИСТРАЦИЯ ПРЕЗИДЕНТА</dc:title>
  <dc:subject/>
  <dc:creator>AdminUROG</dc:creator>
  <cp:keywords/>
</cp:coreProperties>
</file>