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995" w:rsidRDefault="00151995" w:rsidP="00151995">
      <w:pPr>
        <w:pStyle w:val="30"/>
        <w:shd w:val="clear" w:color="auto" w:fill="auto"/>
        <w:spacing w:after="0"/>
      </w:pPr>
      <w:bookmarkStart w:id="0" w:name="_GoBack"/>
      <w:r>
        <w:rPr>
          <w:color w:val="000000"/>
          <w:lang w:eastAsia="ru-RU" w:bidi="ru-RU"/>
        </w:rPr>
        <w:t>МИНИСТЕРСТВО ФИНАНСОВ РОССИЙСКОЙ ФЕДЕРАЦИИ</w:t>
      </w:r>
      <w:r>
        <w:rPr>
          <w:color w:val="000000"/>
          <w:lang w:eastAsia="ru-RU" w:bidi="ru-RU"/>
        </w:rPr>
        <w:br/>
        <w:t>(МИНФИН РОССИИ)</w:t>
      </w:r>
    </w:p>
    <w:p w:rsidR="00151995" w:rsidRDefault="00151995" w:rsidP="00151995">
      <w:pPr>
        <w:pStyle w:val="20"/>
        <w:shd w:val="clear" w:color="auto" w:fill="auto"/>
        <w:spacing w:after="80"/>
      </w:pPr>
      <w:r>
        <w:rPr>
          <w:color w:val="000000"/>
          <w:lang w:eastAsia="ru-RU" w:bidi="ru-RU"/>
        </w:rPr>
        <w:t>Ильинка, д. 9, Москва, 109097</w:t>
      </w:r>
    </w:p>
    <w:p w:rsidR="00151995" w:rsidRDefault="00151995" w:rsidP="00151995">
      <w:pPr>
        <w:pStyle w:val="20"/>
        <w:shd w:val="clear" w:color="auto" w:fill="auto"/>
        <w:spacing w:after="0"/>
      </w:pPr>
      <w:r>
        <w:rPr>
          <w:color w:val="000000"/>
          <w:lang w:eastAsia="ru-RU" w:bidi="ru-RU"/>
        </w:rPr>
        <w:t>Телетайп: 112008 телефакс: +7 (495) 625-08-89</w:t>
      </w:r>
    </w:p>
    <w:p w:rsidR="00151995" w:rsidRDefault="00151995" w:rsidP="00151995">
      <w:pPr>
        <w:pStyle w:val="1"/>
        <w:shd w:val="clear" w:color="auto" w:fill="auto"/>
        <w:spacing w:after="340" w:line="240" w:lineRule="auto"/>
        <w:ind w:firstLine="0"/>
        <w:jc w:val="center"/>
      </w:pPr>
      <w:proofErr w:type="spellStart"/>
      <w:r>
        <w:rPr>
          <w:color w:val="000000"/>
          <w:lang w:eastAsia="ru-RU" w:bidi="ru-RU"/>
        </w:rPr>
        <w:t>Насибуле</w:t>
      </w:r>
      <w:proofErr w:type="spellEnd"/>
      <w:r>
        <w:rPr>
          <w:color w:val="000000"/>
          <w:lang w:eastAsia="ru-RU" w:bidi="ru-RU"/>
        </w:rPr>
        <w:t xml:space="preserve"> Я. Л.</w:t>
      </w:r>
    </w:p>
    <w:p w:rsidR="00151995" w:rsidRDefault="00151995" w:rsidP="00151995">
      <w:pPr>
        <w:pStyle w:val="1"/>
        <w:shd w:val="clear" w:color="auto" w:fill="auto"/>
        <w:spacing w:line="240" w:lineRule="auto"/>
        <w:ind w:firstLine="0"/>
        <w:jc w:val="center"/>
      </w:pPr>
      <w:hyperlink r:id="rId5" w:history="1">
        <w:r>
          <w:rPr>
            <w:color w:val="000000"/>
            <w:lang w:val="en-US" w:bidi="en-US"/>
          </w:rPr>
          <w:t>nasibula</w:t>
        </w:r>
        <w:r w:rsidRPr="00CA7FCB">
          <w:rPr>
            <w:color w:val="000000"/>
            <w:lang w:bidi="en-US"/>
          </w:rPr>
          <w:t>@</w:t>
        </w:r>
        <w:r>
          <w:rPr>
            <w:color w:val="000000"/>
            <w:lang w:val="en-US" w:bidi="en-US"/>
          </w:rPr>
          <w:t>mail</w:t>
        </w:r>
        <w:r w:rsidRPr="00CA7FCB">
          <w:rPr>
            <w:color w:val="000000"/>
            <w:lang w:bidi="en-US"/>
          </w:rPr>
          <w:t>.</w:t>
        </w:r>
        <w:r>
          <w:rPr>
            <w:color w:val="000000"/>
            <w:lang w:val="en-US" w:bidi="en-US"/>
          </w:rPr>
          <w:t>ru</w:t>
        </w:r>
      </w:hyperlink>
    </w:p>
    <w:p w:rsidR="00151995" w:rsidRDefault="00151995" w:rsidP="00151995">
      <w:pPr>
        <w:pStyle w:val="1"/>
        <w:shd w:val="clear" w:color="auto" w:fill="auto"/>
        <w:spacing w:line="240" w:lineRule="auto"/>
        <w:ind w:firstLine="0"/>
        <w:jc w:val="center"/>
      </w:pPr>
    </w:p>
    <w:p w:rsidR="00151995" w:rsidRPr="00151995" w:rsidRDefault="00151995" w:rsidP="00151995">
      <w:pPr>
        <w:widowControl w:val="0"/>
        <w:spacing w:after="320" w:line="262" w:lineRule="auto"/>
        <w:jc w:val="center"/>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 xml:space="preserve">Уважаемый </w:t>
      </w:r>
      <w:proofErr w:type="spellStart"/>
      <w:r w:rsidRPr="00151995">
        <w:rPr>
          <w:rFonts w:ascii="Times New Roman" w:eastAsia="Times New Roman" w:hAnsi="Times New Roman" w:cs="Times New Roman"/>
          <w:color w:val="000000"/>
          <w:sz w:val="26"/>
          <w:szCs w:val="26"/>
          <w:lang w:eastAsia="ru-RU" w:bidi="ru-RU"/>
        </w:rPr>
        <w:t>Ярулла</w:t>
      </w:r>
      <w:proofErr w:type="spellEnd"/>
      <w:r w:rsidRPr="00151995">
        <w:rPr>
          <w:rFonts w:ascii="Times New Roman" w:eastAsia="Times New Roman" w:hAnsi="Times New Roman" w:cs="Times New Roman"/>
          <w:color w:val="000000"/>
          <w:sz w:val="26"/>
          <w:szCs w:val="26"/>
          <w:lang w:eastAsia="ru-RU" w:bidi="ru-RU"/>
        </w:rPr>
        <w:t xml:space="preserve"> </w:t>
      </w:r>
      <w:proofErr w:type="spellStart"/>
      <w:r w:rsidRPr="00151995">
        <w:rPr>
          <w:rFonts w:ascii="Times New Roman" w:eastAsia="Times New Roman" w:hAnsi="Times New Roman" w:cs="Times New Roman"/>
          <w:color w:val="000000"/>
          <w:sz w:val="26"/>
          <w:szCs w:val="26"/>
          <w:lang w:eastAsia="ru-RU" w:bidi="ru-RU"/>
        </w:rPr>
        <w:t>Латфулович</w:t>
      </w:r>
      <w:proofErr w:type="spellEnd"/>
      <w:r w:rsidRPr="00151995">
        <w:rPr>
          <w:rFonts w:ascii="Times New Roman" w:eastAsia="Times New Roman" w:hAnsi="Times New Roman" w:cs="Times New Roman"/>
          <w:color w:val="000000"/>
          <w:sz w:val="26"/>
          <w:szCs w:val="26"/>
          <w:lang w:eastAsia="ru-RU" w:bidi="ru-RU"/>
        </w:rPr>
        <w:t>!</w:t>
      </w:r>
    </w:p>
    <w:p w:rsidR="00151995" w:rsidRPr="00151995" w:rsidRDefault="00151995" w:rsidP="00151995">
      <w:pPr>
        <w:widowControl w:val="0"/>
        <w:spacing w:after="0" w:line="262" w:lineRule="auto"/>
        <w:ind w:firstLine="72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Департамент бюджетной политики в сфере государственной военной и правоохранительной службы и государственного оборонного заказа в соответствии с письмом Аппарата Правительства Российской Федерации от 21 декабря 2021 года № П4-91834 рассмотрел Ваше обращение и в рамках компетенции сообщает.</w:t>
      </w:r>
    </w:p>
    <w:p w:rsidR="00151995" w:rsidRPr="00151995" w:rsidRDefault="00151995" w:rsidP="00151995">
      <w:pPr>
        <w:widowControl w:val="0"/>
        <w:spacing w:after="0" w:line="262" w:lineRule="auto"/>
        <w:ind w:firstLine="72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 xml:space="preserve">В 2012 году была осуществлена реформа денежного довольствия военнослужащих, в результате которой произошло существенное (в 2-3 раза) повышение денежного довольствия. При этом применение новых размеров окладов при исчислении военных пенсий создало бы ситуацию, при которой средний размер «военной» пенсии в 3 и </w:t>
      </w:r>
      <w:proofErr w:type="gramStart"/>
      <w:r w:rsidRPr="00151995">
        <w:rPr>
          <w:rFonts w:ascii="Times New Roman" w:eastAsia="Times New Roman" w:hAnsi="Times New Roman" w:cs="Times New Roman"/>
          <w:color w:val="000000"/>
          <w:sz w:val="26"/>
          <w:szCs w:val="26"/>
          <w:lang w:eastAsia="ru-RU" w:bidi="ru-RU"/>
        </w:rPr>
        <w:t>более</w:t>
      </w:r>
      <w:proofErr w:type="gramEnd"/>
      <w:r w:rsidRPr="00151995">
        <w:rPr>
          <w:rFonts w:ascii="Times New Roman" w:eastAsia="Times New Roman" w:hAnsi="Times New Roman" w:cs="Times New Roman"/>
          <w:color w:val="000000"/>
          <w:sz w:val="26"/>
          <w:szCs w:val="26"/>
          <w:lang w:eastAsia="ru-RU" w:bidi="ru-RU"/>
        </w:rPr>
        <w:t xml:space="preserve"> раз превышал бы размер средней «гражданской» пенсии.</w:t>
      </w:r>
    </w:p>
    <w:p w:rsidR="00151995" w:rsidRPr="00151995" w:rsidRDefault="00151995" w:rsidP="00151995">
      <w:pPr>
        <w:widowControl w:val="0"/>
        <w:spacing w:after="0" w:line="262" w:lineRule="auto"/>
        <w:ind w:firstLine="540"/>
        <w:jc w:val="both"/>
        <w:rPr>
          <w:rFonts w:ascii="Times New Roman" w:eastAsia="Times New Roman" w:hAnsi="Times New Roman" w:cs="Times New Roman"/>
          <w:color w:val="000000"/>
          <w:sz w:val="26"/>
          <w:szCs w:val="26"/>
          <w:lang w:eastAsia="ru-RU" w:bidi="ru-RU"/>
        </w:rPr>
      </w:pPr>
      <w:proofErr w:type="gramStart"/>
      <w:r w:rsidRPr="00151995">
        <w:rPr>
          <w:rFonts w:ascii="Times New Roman" w:eastAsia="Times New Roman" w:hAnsi="Times New Roman" w:cs="Times New Roman"/>
          <w:color w:val="000000"/>
          <w:sz w:val="26"/>
          <w:szCs w:val="26"/>
          <w:lang w:eastAsia="ru-RU" w:bidi="ru-RU"/>
        </w:rPr>
        <w:t>Во избежание такого разрыва было принято решение, установленное частью 2 статьи 43 Закона Российской Федерации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w:t>
      </w:r>
      <w:proofErr w:type="gramEnd"/>
      <w:r w:rsidRPr="00151995">
        <w:rPr>
          <w:rFonts w:ascii="Times New Roman" w:eastAsia="Times New Roman" w:hAnsi="Times New Roman" w:cs="Times New Roman"/>
          <w:color w:val="000000"/>
          <w:sz w:val="26"/>
          <w:szCs w:val="26"/>
          <w:lang w:eastAsia="ru-RU" w:bidi="ru-RU"/>
        </w:rPr>
        <w:t xml:space="preserve"> Федерации, и их семей» (далее - Закон № 4468-1), о том, что денежное довольствие для исчисления «военной» пенсии с 1 января 2012 года учитывается в размере 54 процентов, </w:t>
      </w:r>
      <w:proofErr w:type="gramStart"/>
      <w:r w:rsidRPr="00151995">
        <w:rPr>
          <w:rFonts w:ascii="Times New Roman" w:eastAsia="Times New Roman" w:hAnsi="Times New Roman" w:cs="Times New Roman"/>
          <w:color w:val="000000"/>
          <w:sz w:val="26"/>
          <w:szCs w:val="26"/>
          <w:lang w:eastAsia="ru-RU" w:bidi="ru-RU"/>
        </w:rPr>
        <w:t>и</w:t>
      </w:r>
      <w:proofErr w:type="gramEnd"/>
      <w:r w:rsidRPr="00151995">
        <w:rPr>
          <w:rFonts w:ascii="Times New Roman" w:eastAsia="Times New Roman" w:hAnsi="Times New Roman" w:cs="Times New Roman"/>
          <w:color w:val="000000"/>
          <w:sz w:val="26"/>
          <w:szCs w:val="26"/>
          <w:lang w:eastAsia="ru-RU" w:bidi="ru-RU"/>
        </w:rPr>
        <w:t xml:space="preserve"> начиная с 1 января 2013 года ежегодно увеличивается на 2 процента до достижения 100 процентов его размера.</w:t>
      </w:r>
    </w:p>
    <w:p w:rsidR="00151995" w:rsidRPr="00151995" w:rsidRDefault="00151995" w:rsidP="00151995">
      <w:pPr>
        <w:widowControl w:val="0"/>
        <w:spacing w:after="0" w:line="262" w:lineRule="auto"/>
        <w:ind w:firstLine="54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Данное положение никак не ухудшило положение граждан, уволенных с военной службы (далее - военные пенсионеры), что было подтверждено решениями</w:t>
      </w:r>
    </w:p>
    <w:p w:rsidR="00151995" w:rsidRPr="00151995" w:rsidRDefault="00151995" w:rsidP="00151995">
      <w:pPr>
        <w:widowControl w:val="0"/>
        <w:spacing w:after="0" w:line="259" w:lineRule="auto"/>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высших судов (например, Определение Конституционного Суда Российской Федерации от 17 июля 2012 года№ 1433-0).</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Законом № 4468-1 установлен порядок исчисления пенсий, выплачиваемых гражданам, уволенным с военной и приравненной к ней службы.</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При этом Законом № 4468-1 предусмотрена возможность дополнительного ежегодного увеличения пенсий «военных» пенсионеров.</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При безусловном исполнении Закона № 4468-1 размер денежного довольствия, учитываемого для исчисления пенсии, к 1 января 2022 года должен был достигнуть уровня 74 процентов.</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 xml:space="preserve">В Федеральном законе от 6 декабря 2021 года № 390-ФЗ «О федеральном бюджете на 2022 год и на плановый период 2023 и 2024 годов» (далее - </w:t>
      </w:r>
      <w:r w:rsidRPr="00151995">
        <w:rPr>
          <w:rFonts w:ascii="Times New Roman" w:eastAsia="Times New Roman" w:hAnsi="Times New Roman" w:cs="Times New Roman"/>
          <w:color w:val="000000"/>
          <w:sz w:val="26"/>
          <w:szCs w:val="26"/>
          <w:lang w:eastAsia="ru-RU" w:bidi="ru-RU"/>
        </w:rPr>
        <w:lastRenderedPageBreak/>
        <w:t>Федеральный закон № 390-ФЗ) учтены бюджетные ассигнования на увеличение размера денежного довольствия, учитываемого для исчисления пенсии, с 1 января 2022 года с 73,68 процента до 74,0 процентов.</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В соответствии со статьей 49 Закона № 4468-1 пенсии гражданам, уволенным с военной и приравненной к ней службы, подлежат пересмотру одновременно с увеличением денежного довольствия военнослужащих и сотрудников.</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В Федеральном законе № 390-ФЗ учтены бюджетные ассигнования на увеличение денежного довольствия военнослужащих и сотрудников с 1 октября 2022 года на 4,0 процента, соответственно, «военные» пенсии с 1 октября 2022 года будут также увеличены на 4,0 процента.</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Кроме того, в соответствии с решением Президента Российской Федерации В.В. Путина, предусмотрены дополнительные бюджетные ассигнования на индексацию с 1 октября 2023 года окладов денежного содержания военнослужащих (сотрудников) на 5 процентов сверх предусмотренного уровня с одновременным увеличением «военных» пенсий.</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Таким образом, «военные» пенсии с 1 октября 2023 года будут увеличены на 9 процентов.</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Также необходимо иметь в виду, что в соответствии с Федеральным законом от 28 декабря 2013 года № 400-ФЗ «О страховых пенсиях» исчисление суммы страховой пенсии для работающих пенсионеров, получающих «гражданские» пенсии, происходит без учета индексации (увеличения) страховой пенсии. Такое ограничение для работающих пенсионеров, получающих «военные» пенсии, законодательством не предусмотрено. Кроме того, законодательством предусмотрено увеличение пенсионного возраста граждан на 5 лет, что позволило создать условия для повышения уровня пенсионного обеспечения путем ежегодной индексации пенсий выше уровня инфляции. Таких решений в части «военных» пенсионеров не принималось.</w:t>
      </w:r>
    </w:p>
    <w:p w:rsidR="00151995" w:rsidRPr="00151995" w:rsidRDefault="00151995" w:rsidP="00151995">
      <w:pPr>
        <w:widowControl w:val="0"/>
        <w:spacing w:after="0" w:line="259" w:lineRule="auto"/>
        <w:ind w:firstLine="580"/>
        <w:jc w:val="both"/>
        <w:rPr>
          <w:rFonts w:ascii="Times New Roman" w:eastAsia="Times New Roman" w:hAnsi="Times New Roman" w:cs="Times New Roman"/>
          <w:color w:val="000000"/>
          <w:sz w:val="26"/>
          <w:szCs w:val="26"/>
          <w:lang w:eastAsia="ru-RU" w:bidi="ru-RU"/>
        </w:rPr>
      </w:pPr>
      <w:proofErr w:type="gramStart"/>
      <w:r w:rsidRPr="00151995">
        <w:rPr>
          <w:rFonts w:ascii="Times New Roman" w:eastAsia="Times New Roman" w:hAnsi="Times New Roman" w:cs="Times New Roman"/>
          <w:color w:val="000000"/>
          <w:sz w:val="26"/>
          <w:szCs w:val="26"/>
          <w:lang w:eastAsia="ru-RU" w:bidi="ru-RU"/>
        </w:rPr>
        <w:t>Одновременно следует отметить, что в соответствии с Федеральным законом от 30 апреля 2019 года № 66-ФЗ «О внесении изменения в статью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w:t>
      </w:r>
      <w:proofErr w:type="gramEnd"/>
    </w:p>
    <w:p w:rsidR="00151995" w:rsidRPr="00151995" w:rsidRDefault="00151995" w:rsidP="00151995">
      <w:pPr>
        <w:widowControl w:val="0"/>
        <w:spacing w:after="0" w:line="262" w:lineRule="auto"/>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национальной гвардии Российской Федерации, и их семей» с 1 мая 2019 года размер денежного довольствия, учитываемого при исчислении пенсии в отношении ветеранов Великой Отечественной войны, составил 100 процентов.</w:t>
      </w:r>
    </w:p>
    <w:p w:rsidR="00151995" w:rsidRPr="00151995" w:rsidRDefault="00151995" w:rsidP="00151995">
      <w:pPr>
        <w:widowControl w:val="0"/>
        <w:spacing w:after="0" w:line="262" w:lineRule="auto"/>
        <w:ind w:firstLine="54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В целях оказания дополнительной социальной поддержки пенсионерам был принят Указ Президента Российской Федерации от 24 августа 2021 года № 487 «О единовременной денежной выплате отдельным категориям граждан, получающих пенсию», в соответствии с которым уже в сентябре 2021 года осуществлена единовременная денежная выплата в размере 10 000 рублей.</w:t>
      </w:r>
    </w:p>
    <w:p w:rsidR="00151995" w:rsidRPr="00151995" w:rsidRDefault="00151995" w:rsidP="00151995">
      <w:pPr>
        <w:widowControl w:val="0"/>
        <w:spacing w:after="0" w:line="262" w:lineRule="auto"/>
        <w:ind w:firstLine="540"/>
        <w:jc w:val="both"/>
        <w:rPr>
          <w:rFonts w:ascii="Times New Roman" w:eastAsia="Times New Roman" w:hAnsi="Times New Roman" w:cs="Times New Roman"/>
          <w:color w:val="000000"/>
          <w:sz w:val="26"/>
          <w:szCs w:val="26"/>
          <w:lang w:eastAsia="ru-RU" w:bidi="ru-RU"/>
        </w:rPr>
      </w:pPr>
      <w:r w:rsidRPr="00151995">
        <w:rPr>
          <w:rFonts w:ascii="Times New Roman" w:eastAsia="Times New Roman" w:hAnsi="Times New Roman" w:cs="Times New Roman"/>
          <w:color w:val="000000"/>
          <w:sz w:val="26"/>
          <w:szCs w:val="26"/>
          <w:lang w:eastAsia="ru-RU" w:bidi="ru-RU"/>
        </w:rPr>
        <w:t>Кроме того, в соответствии решением Президента Российской Федерации от 21 января 2022 года пенсии гражданам, уволенным с военной и приравненной к ней службы, будут с 1 января 2022 года увеличены на 8,6 процента.</w:t>
      </w:r>
    </w:p>
    <w:p w:rsidR="00077834" w:rsidRDefault="00077834"/>
    <w:p w:rsidR="00151995" w:rsidRPr="00151995" w:rsidRDefault="00151995">
      <w:pPr>
        <w:rPr>
          <w:sz w:val="26"/>
          <w:szCs w:val="26"/>
        </w:rPr>
      </w:pPr>
      <w:r w:rsidRPr="00151995">
        <w:rPr>
          <w:sz w:val="26"/>
          <w:szCs w:val="26"/>
        </w:rPr>
        <w:t>Заместитель</w:t>
      </w:r>
      <w:r>
        <w:rPr>
          <w:sz w:val="26"/>
          <w:szCs w:val="26"/>
        </w:rPr>
        <w:t xml:space="preserve"> директора Департамента  </w:t>
      </w:r>
      <w:r>
        <w:rPr>
          <w:sz w:val="26"/>
          <w:szCs w:val="26"/>
        </w:rPr>
        <w:tab/>
      </w:r>
      <w:r>
        <w:rPr>
          <w:sz w:val="26"/>
          <w:szCs w:val="26"/>
        </w:rPr>
        <w:tab/>
        <w:t xml:space="preserve">И. В. </w:t>
      </w:r>
      <w:proofErr w:type="spellStart"/>
      <w:r>
        <w:rPr>
          <w:sz w:val="26"/>
          <w:szCs w:val="26"/>
        </w:rPr>
        <w:t>Севоднясев</w:t>
      </w:r>
      <w:proofErr w:type="spellEnd"/>
      <w:r>
        <w:rPr>
          <w:sz w:val="26"/>
          <w:szCs w:val="26"/>
        </w:rPr>
        <w:t xml:space="preserve"> </w:t>
      </w:r>
      <w:bookmarkEnd w:id="0"/>
    </w:p>
    <w:sectPr w:rsidR="00151995" w:rsidRPr="001519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995"/>
    <w:rsid w:val="00077834"/>
    <w:rsid w:val="00151995"/>
    <w:rsid w:val="00A73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151995"/>
    <w:rPr>
      <w:rFonts w:ascii="Book Antiqua" w:eastAsia="Book Antiqua" w:hAnsi="Book Antiqua" w:cs="Book Antiqua"/>
      <w:b/>
      <w:bCs/>
      <w:sz w:val="26"/>
      <w:szCs w:val="26"/>
      <w:shd w:val="clear" w:color="auto" w:fill="FFFFFF"/>
    </w:rPr>
  </w:style>
  <w:style w:type="paragraph" w:customStyle="1" w:styleId="30">
    <w:name w:val="Основной текст (3)"/>
    <w:basedOn w:val="a"/>
    <w:link w:val="3"/>
    <w:rsid w:val="00151995"/>
    <w:pPr>
      <w:widowControl w:val="0"/>
      <w:shd w:val="clear" w:color="auto" w:fill="FFFFFF"/>
      <w:spacing w:after="80" w:line="360" w:lineRule="auto"/>
      <w:jc w:val="center"/>
    </w:pPr>
    <w:rPr>
      <w:rFonts w:ascii="Book Antiqua" w:eastAsia="Book Antiqua" w:hAnsi="Book Antiqua" w:cs="Book Antiqua"/>
      <w:b/>
      <w:bCs/>
      <w:sz w:val="26"/>
      <w:szCs w:val="26"/>
    </w:rPr>
  </w:style>
  <w:style w:type="character" w:customStyle="1" w:styleId="2">
    <w:name w:val="Основной текст (2)_"/>
    <w:basedOn w:val="a0"/>
    <w:link w:val="20"/>
    <w:rsid w:val="00151995"/>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151995"/>
    <w:pPr>
      <w:widowControl w:val="0"/>
      <w:shd w:val="clear" w:color="auto" w:fill="FFFFFF"/>
      <w:spacing w:after="40" w:line="240" w:lineRule="auto"/>
      <w:jc w:val="center"/>
    </w:pPr>
    <w:rPr>
      <w:rFonts w:ascii="Times New Roman" w:eastAsia="Times New Roman" w:hAnsi="Times New Roman" w:cs="Times New Roman"/>
      <w:sz w:val="20"/>
      <w:szCs w:val="20"/>
    </w:rPr>
  </w:style>
  <w:style w:type="character" w:customStyle="1" w:styleId="a3">
    <w:name w:val="Основной текст_"/>
    <w:basedOn w:val="a0"/>
    <w:link w:val="1"/>
    <w:rsid w:val="00151995"/>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3"/>
    <w:rsid w:val="00151995"/>
    <w:pPr>
      <w:widowControl w:val="0"/>
      <w:shd w:val="clear" w:color="auto" w:fill="FFFFFF"/>
      <w:spacing w:after="0" w:line="262" w:lineRule="auto"/>
      <w:ind w:firstLine="400"/>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151995"/>
    <w:rPr>
      <w:rFonts w:ascii="Book Antiqua" w:eastAsia="Book Antiqua" w:hAnsi="Book Antiqua" w:cs="Book Antiqua"/>
      <w:b/>
      <w:bCs/>
      <w:sz w:val="26"/>
      <w:szCs w:val="26"/>
      <w:shd w:val="clear" w:color="auto" w:fill="FFFFFF"/>
    </w:rPr>
  </w:style>
  <w:style w:type="paragraph" w:customStyle="1" w:styleId="30">
    <w:name w:val="Основной текст (3)"/>
    <w:basedOn w:val="a"/>
    <w:link w:val="3"/>
    <w:rsid w:val="00151995"/>
    <w:pPr>
      <w:widowControl w:val="0"/>
      <w:shd w:val="clear" w:color="auto" w:fill="FFFFFF"/>
      <w:spacing w:after="80" w:line="360" w:lineRule="auto"/>
      <w:jc w:val="center"/>
    </w:pPr>
    <w:rPr>
      <w:rFonts w:ascii="Book Antiqua" w:eastAsia="Book Antiqua" w:hAnsi="Book Antiqua" w:cs="Book Antiqua"/>
      <w:b/>
      <w:bCs/>
      <w:sz w:val="26"/>
      <w:szCs w:val="26"/>
    </w:rPr>
  </w:style>
  <w:style w:type="character" w:customStyle="1" w:styleId="2">
    <w:name w:val="Основной текст (2)_"/>
    <w:basedOn w:val="a0"/>
    <w:link w:val="20"/>
    <w:rsid w:val="00151995"/>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151995"/>
    <w:pPr>
      <w:widowControl w:val="0"/>
      <w:shd w:val="clear" w:color="auto" w:fill="FFFFFF"/>
      <w:spacing w:after="40" w:line="240" w:lineRule="auto"/>
      <w:jc w:val="center"/>
    </w:pPr>
    <w:rPr>
      <w:rFonts w:ascii="Times New Roman" w:eastAsia="Times New Roman" w:hAnsi="Times New Roman" w:cs="Times New Roman"/>
      <w:sz w:val="20"/>
      <w:szCs w:val="20"/>
    </w:rPr>
  </w:style>
  <w:style w:type="character" w:customStyle="1" w:styleId="a3">
    <w:name w:val="Основной текст_"/>
    <w:basedOn w:val="a0"/>
    <w:link w:val="1"/>
    <w:rsid w:val="00151995"/>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3"/>
    <w:rsid w:val="00151995"/>
    <w:pPr>
      <w:widowControl w:val="0"/>
      <w:shd w:val="clear" w:color="auto" w:fill="FFFFFF"/>
      <w:spacing w:after="0" w:line="262" w:lineRule="auto"/>
      <w:ind w:firstLine="400"/>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nasibula@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822</Words>
  <Characters>4690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Ярулла</dc:creator>
  <cp:lastModifiedBy>Ярулла</cp:lastModifiedBy>
  <cp:revision>1</cp:revision>
  <dcterms:created xsi:type="dcterms:W3CDTF">2022-01-25T12:14:00Z</dcterms:created>
  <dcterms:modified xsi:type="dcterms:W3CDTF">2022-01-25T12:35:00Z</dcterms:modified>
</cp:coreProperties>
</file>