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&lt;Информация&gt; Росреестра</w:t>
              <w:br/>
              <w:t xml:space="preserve">"Дайджест законодательных изменений в сфере земли и недвижимости. IV квартал 2024"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ДАЙДЖЕСТ</w:t>
      </w:r>
    </w:p>
    <w:p>
      <w:pPr>
        <w:pStyle w:val="2"/>
        <w:jc w:val="center"/>
      </w:pPr>
      <w:r>
        <w:rPr>
          <w:sz w:val="24"/>
        </w:rPr>
        <w:t xml:space="preserve">ЗАКОНОДАТЕЛЬНЫХ ИЗМЕНЕНИЙ В СФЕРЕ ЗЕМЛИ И НЕДВИЖИМОСТИ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IV КВАРТАЛ 2024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61"/>
        <w:gridCol w:w="1984"/>
        <w:gridCol w:w="372"/>
        <w:gridCol w:w="819"/>
        <w:gridCol w:w="510"/>
        <w:gridCol w:w="1814"/>
        <w:gridCol w:w="1191"/>
        <w:gridCol w:w="383"/>
        <w:gridCol w:w="5159"/>
      </w:tblGrid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Оформление прав на недвижимость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r>
              <w:rPr>
                <w:sz w:val="24"/>
              </w:rPr>
              <w:t xml:space="preserve">Федеральный </w:t>
            </w:r>
            <w:hyperlink w:history="0" r:id="rId8" w:tooltip="Федеральный закон от 29.10.2024 N 370-ФЗ &quot;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29.10.2024 N 370-ФЗ "О внесении изменений в отдельные законодательные акты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09.11.2024)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6"/>
              </w:rPr>
              <w:drawing>
                <wp:inline distT="0" distB="0" distL="0" distR="0">
                  <wp:extent cx="746125" cy="7461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Для оформления прав на хозпостройки, являющиеся объектами капитального строительства, нужно выполнить кадастровые работы, подготовить декларацию об объекте, осуществить государственную регистрацию прав и уплатить госпошлину.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Оформить права на вспомогательные объекты бытовой недвижимости (сараи, бани, погреба, колодцы, летние кухни и другие хозпостройки) возможно в упрощенном порядке - на основании технических паспортов, оценочной и иной учетно-технической документации. Соответствующие хозпостройки должны быть созданы до 1 января 2013 года.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46"/>
              </w:rPr>
              <w:drawing>
                <wp:inline distT="0" distB="0" distL="0" distR="0">
                  <wp:extent cx="746125" cy="7461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Чтобы оформить земельный участок под домом блокированной застройки, который создан до введения в действие Градостроительного </w:t>
            </w:r>
            <w:hyperlink w:history="0" r:id="rId10" w:tooltip="&quot;Градостроительный кодекс Российской Федерации&quot; от 29.12.2004 N 190-ФЗ (ред. от 26.12.2024)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кодекса</w:t>
              </w:r>
            </w:hyperlink>
            <w:r>
              <w:rPr>
                <w:sz w:val="24"/>
              </w:rPr>
              <w:t xml:space="preserve"> РФ (до 7 мая 1998 года) и права на который не оформлены, нужно обратиться в уполномоченный орган за предоставлением такого участка и выполнить кадастровые работы для его образования.</w:t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Возможность упрощенного бесплатного оформления прав граждан на жилые дома и одновременно на земельные участки, на которых они расположены, распространена на дома блокированной застройки (в случае, если количество таких домов, возведенных до введения в действие Градостроительного </w:t>
            </w:r>
            <w:hyperlink w:history="0" r:id="rId11" w:tooltip="&quot;Градостроительный кодекс Российской Федерации&quot; от 29.12.2004 N 190-ФЗ (ред. от 26.12.2024)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кодекса</w:t>
              </w:r>
            </w:hyperlink>
            <w:r>
              <w:rPr>
                <w:sz w:val="24"/>
              </w:rPr>
              <w:t xml:space="preserve"> РФ (до 7 мая 1998 года), в одном ряду не превышает двух).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tcW w:w="4706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Особенности порядка оформления прав на дома блокированной застройки в зависимости от даты их возведения отсутствуют.</w:t>
            </w:r>
          </w:p>
        </w:tc>
        <w:tc>
          <w:tcPr>
            <w:gridSpan w:val="2"/>
            <w:tcW w:w="5542" w:type="dxa"/>
            <w:vAlign w:val="center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Обращаться за предоставлением земельного участка, на котором расположены такие дома, не понадобится. Оформить право собственности можно на основании технических паспортов, оценочной и иной учетно-технической документации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Комплексные кадастровые работы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r>
              <w:rPr>
                <w:sz w:val="24"/>
              </w:rPr>
              <w:t xml:space="preserve">Федеральный </w:t>
            </w:r>
            <w:hyperlink w:history="0" r:id="rId14" w:tooltip="Федеральный закон от 29.10.2024 N 371-ФЗ &quot;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29.10.2024 N 371-ФЗ "О внесении изменений в отдельные законодательные акты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29.10.2024)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Комплексные кадастровые работы выполняются за счет средств:</w:t>
            </w:r>
          </w:p>
        </w:tc>
        <w:tc>
          <w:tcPr>
            <w:gridSpan w:val="2"/>
            <w:tcW w:w="5542" w:type="dxa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Комплексные кадастровые работы с 2025 года выполняются за счет средств: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gridSpan w:val="2"/>
            <w:tcBorders>
              <w:right w:val="single" w:sz="4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физических и (или) юридических лиц, заинтересованных выполнении таких работ;</w:t>
            </w:r>
          </w:p>
        </w:tc>
        <w:tc>
          <w:tcPr>
            <w:tcW w:w="383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физических и (или) юридических лиц, заинтересованных в выполнении таких работ;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gridSpan w:val="2"/>
            <w:tcBorders>
              <w:right w:val="single" w:sz="4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бюджетов субъектов Российской Федерации;</w:t>
            </w:r>
          </w:p>
        </w:tc>
        <w:tc>
          <w:tcPr>
            <w:tcW w:w="383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бюджетов субъектов Российской Федерации;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gridSpan w:val="2"/>
            <w:tcBorders>
              <w:right w:val="single" w:sz="4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бюджетов муниципальных районов, муниципальных округов, городских округов при софинансировании</w:t>
            </w:r>
          </w:p>
        </w:tc>
        <w:tc>
          <w:tcPr>
            <w:tcW w:w="383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бюджетов муниципальных районов, муниципальных округов, городских округов;</w:t>
            </w:r>
          </w:p>
        </w:tc>
      </w:tr>
      <w:tr>
        <w:tblPrEx>
          <w:tblBorders>
            <w:insideV w:val="nil"/>
          </w:tblBorders>
        </w:tblPrEx>
        <w:tc>
          <w:tcPr>
            <w:gridSpan w:val="2"/>
            <w:tcBorders>
              <w:right w:val="single" w:sz="4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lef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 федерального бюджета.</w:t>
            </w:r>
          </w:p>
        </w:tc>
        <w:tc>
          <w:tcPr>
            <w:tcW w:w="383" w:type="dxa"/>
            <w:tcBorders>
              <w:top w:val="nil"/>
              <w:lef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федерального бюджета.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Особенности выполнения комплексных кадастровых работ за счет средств бюджета Российской Федерации не установлены.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Комплексные кадастровые работы федерального значения выполняются силами ППК "Роскадастр" за счет субсидии из федерального бюджета и не требуют расходов физических и юридических лиц.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Оформление прав на машино-места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r>
              <w:rPr>
                <w:sz w:val="24"/>
              </w:rPr>
              <w:t xml:space="preserve">Федеральный </w:t>
            </w:r>
            <w:hyperlink w:history="0" r:id="rId16" w:tooltip="Федеральный закон от 23.11.2024 N 403-ФЗ &quot;О внесении изменений в статью 6 Федерального закона &quot;О внесении изменений в часть первую Гражданского кодекса Российской Федерации и отдельные законодательные акты Российской Федерации&quot; и Федеральный закон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23.11.2024 N 403-ФЗ "О внесении изменений в статью 6 Федерального закона "О внесении изменений в часть первую Гражданского кодекса Российской Федерации и отдельные законодательные акты Российской Федерации" и Федеральный закон "О государственной регистрации недвижимости"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04.12.2024)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Выдел в натуре доли в праве общей долевой собственности на помещение, здание, сооружение, предназначенное для размещения транспортного средства, осуществляется только при наличии соглашения всех сособственников или решения общего собрания, определяющих порядок пользования недвижимым имуществом, находящимся в общей долевой собственности.</w:t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Выдел в натуре доли в праве общей долевой собственности на помещение, здание, сооружение, предназначенное для размещения транспортного средства, осуществляется: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 наличии соглашения всех сособственников или решения общего собрания, определяющих порядок пользования недвижимым имуществом, находящимся в общей долевой собственности;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судебном порядке;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путем проведения процедуры согласования местоположения машино-места на плане этажа или части этажа здания либо сооружения, образуемого путем выдела доли в праве общей собственности на помещения, здания, сооружения, посредством извещения о предстоящем выделе в натуре доли в праве общей долевой собственности и проведения согласования местоположения образуемого машино-места с участниками общей долевой собственности.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Предоставление земельных участков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r>
              <w:rPr>
                <w:sz w:val="24"/>
              </w:rPr>
              <w:t xml:space="preserve">Федеральный </w:t>
            </w:r>
            <w:hyperlink w:history="0" r:id="rId17" w:tooltip="Федеральный закон от 30.11.2024 N 447-ФЗ &quot;О внесении изменения в статью 39.15 Земельного кодекса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30.11.2024 N 447-ФЗ "О внесении изменений в статью 39.15 Земельного кодекса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11.12.2024)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6"/>
              </w:rPr>
              <w:drawing>
                <wp:inline distT="0" distB="0" distL="0" distR="0">
                  <wp:extent cx="746125" cy="7461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Срок действия решения о предварительном согласовании предоставления земельного участка, находящегося в государственной или муниципальной собственности, составляет 2 года.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действия решения о предварительном согласовании предоставления земельного участка составляет 1 год.</w:t>
            </w:r>
          </w:p>
          <w:p>
            <w:pPr>
              <w:pStyle w:val="0"/>
            </w:pPr>
            <w:r>
              <w:rPr>
                <w:sz w:val="24"/>
              </w:rPr>
              <w:t xml:space="preserve">Если для предоставления земельного участка необходимо изменение вида разрешенного использования или его перевода из одной категории в другую, срок действия решения о предварительном согласовании составляет 2 года.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r>
              <w:rPr>
                <w:sz w:val="24"/>
              </w:rPr>
              <w:t xml:space="preserve">Федеральный </w:t>
            </w:r>
            <w:hyperlink w:history="0" r:id="rId18" w:tooltip="Федеральный закон от 26.12.2024 N 494-ФЗ &quot;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26.12.2024 N 494-ФЗ "О внесении изменений в отдельные законодательные акты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01.01.2025)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Заключить договор мены земельного участка, находящегося в государственной или муниципальной собственности, на земельный участок в частной собственности, если он необходим для размещения объектов социальной инфраструктуры или реализации масштабных инвестиционных проектов, возможно до 31 декабря 2024 года.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Возможность заключить договор мены земельного участка, находящегося в государственной или муниципальной собственности, на земельный участок в частной собственности, если он необходим для размещения объектов социальной инфраструктуры или реализации масштабных инвестиционных проектов, переведена на постоянную основу.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r>
              <w:rPr>
                <w:sz w:val="24"/>
              </w:rPr>
              <w:t xml:space="preserve">Федеральный </w:t>
            </w:r>
            <w:hyperlink w:history="0" r:id="rId19" w:tooltip="Федеральный закон от 28.12.2024 N 538-ФЗ &quot;О внесении изменений в Земельный кодекс Российской Федерации и статью 3 Федерального закона &quot;О внесении изменений в Земельный кодекс Российской Федерации и признании утратившей силу части 7 статьи 34 Федерального закона &quot;О внесении изменений в Земельный кодекс Российской Федерации и отдельные законодательные акты Российской Федерации&quot; ------------ Не вступил в силу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28.12.2024 N 538-ФЗ "О внесении изменений в Земельный кодекс Российской Федерации и статью 3 Федерального закона "О внесении изменений в Земельный кодекс Российской Федерации и признании утратившей силу части 7 статьи 34 Федерального закона "О внесении изменений в Земельный кодекс Российской Федерации и отдельные законодательные акты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01.01.2025)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3"/>
              </w:rPr>
              <w:drawing>
                <wp:inline distT="0" distB="0" distL="0" distR="0">
                  <wp:extent cx="1623695" cy="7092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Срок проверки уполномоченным органом наличия или отсутствия оснований для отказа в утверждении схемы расположения земельного участка - 2 месяца.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проверки уполномоченным органом наличия или отсутствия оснований для отказа в утверждении схемы расположения земельного участка - 30 дней.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3"/>
              </w:rPr>
              <w:drawing>
                <wp:inline distT="0" distB="0" distL="0" distR="0">
                  <wp:extent cx="1623695" cy="7092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Срок проверки уполномоченным органом наличия или отсутствия оснований, по которым земельный участок не может быть предметом аукциона, - 2 месяца.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проверки уполномоченным органом наличия или отсутствия оснований, по которым земельный участок не может быть предметом аукциона, - 30 дней.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3"/>
              </w:rPr>
              <w:drawing>
                <wp:inline distT="0" distB="0" distL="0" distR="0">
                  <wp:extent cx="1623695" cy="7092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Минимальный срок между датой размещения извещения о проведении аукциона и датой проведения аукциона - 30 дней.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Минимальный срок между датой размещения извещения о проведении аукциона и датой проведения аукциона - 10 рабочих дней.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3"/>
              </w:rPr>
              <w:drawing>
                <wp:inline distT="0" distB="0" distL="0" distR="0">
                  <wp:extent cx="1623695" cy="7092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Предельный срок размещения извещения с момента принятия решения о проведении аукциона не установлен.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Предельный срок размещения извещения с момента принятия решения о проведении аукциона - 3 месяца.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3"/>
              </w:rPr>
              <w:drawing>
                <wp:inline distT="0" distB="0" distL="0" distR="0">
                  <wp:extent cx="1623695" cy="7092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Максимальный срок между днем прекращения приема документов и днем проведения аукциона - 5 дней.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Максимальный срок между днем прекращения приема документов и днем проведения аукциона - 3 дня.</w:t>
            </w:r>
          </w:p>
        </w:tc>
      </w:tr>
      <w:tr>
        <w:tblPrEx>
          <w:tblBorders>
            <w:insideV w:val="nil"/>
          </w:tblBorders>
        </w:tblPrEx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3"/>
              </w:rPr>
              <w:drawing>
                <wp:inline distT="0" distB="0" distL="0" distR="0">
                  <wp:extent cx="1623695" cy="7092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Срок оформления протокола не установлен.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оформления протокола - не позднее одного рабочего дня со дня проведения аукциона.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3"/>
              </w:rPr>
              <w:drawing>
                <wp:inline distT="0" distB="0" distL="0" distR="0">
                  <wp:extent cx="1623695" cy="7092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Срок направления победителю аукциона или единственному принявшему участие в аукционе его участнику проекта договора - 10 дней.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направления победителю аукциона или единственному принявшему участие в аукционе его участнику проекта договора - 5 дней.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3"/>
              </w:rPr>
              <w:drawing>
                <wp:inline distT="0" distB="0" distL="0" distR="0">
                  <wp:extent cx="1623695" cy="7092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Срок подписания и представления в уполномоченный орган договора победителем аукциона, лицом, подавшим единственную заявку на участие в аукционе, заявителем, признанным единственным участником аукциона, или единственным принявшим участие в аукционе участником - 30 дней.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подписания и представления в уполномоченный орган договора победителем аукциона, лицом, подавшим единственную заявку на участие в аукционе, заявителем, признанным единственным участником аукциона, или единственным принявшим участие в аукционе участником - 10 рабочих дней.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3"/>
              </w:rPr>
              <w:drawing>
                <wp:inline distT="0" distB="0" distL="0" distR="0">
                  <wp:extent cx="1623695" cy="7092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Срок, в течение которого уполномоченный орган обеспечивает образование испрашиваемого земельного участка или уточнение его границ и принимает решение о проведении аукциона, не установлен.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Срок, в течение которого уполномоченный орган обеспечивает образование испрашиваемого земельного участка или уточнение его границ и принимает решение о проведении аукциона, - 4 месяца.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hyperlink w:history="0" r:id="rId21" w:tooltip="Приказ Росреестра от 22.10.2024 N П/0326/24 &quot;О внесении изменений в приложения N 1 и N 2 к приказу Федеральной службы государственной регистрации, кадастра и картографии от 19 апреля 2022 г. N П/0148 &quot;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 {КонсультантПлюс}">
              <w:r>
                <w:rPr>
                  <w:sz w:val="24"/>
                  <w:color w:val="0000ff"/>
                </w:rPr>
                <w:t xml:space="preserve">Приказ</w:t>
              </w:r>
            </w:hyperlink>
            <w:r>
              <w:rPr>
                <w:sz w:val="24"/>
              </w:rPr>
              <w:t xml:space="preserve"> Росреестра от 22.10.2024 N П/0326/24 "О внесении изменений в приложение N 1 и N 2 к приказу Федеральной службы государственной регистрации, кадастра и картографии от 19 апреля 2022 г. N П/0148 "Об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01.01.2025)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Подготовка схемы расположения земельного участка в форме электронного документа может осуществляться с использованием официального сайта Росреестра или иных технологических и программных средств.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 "Единая цифровая платформа "Национальная система пространственных данных" (ЕЦП НСПД) или иных технологических и программных средств.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hyperlink w:history="0" r:id="rId22" w:tooltip="Приказ Росреестра от 21.10.2024 N П/0325/24 &quot;О признании утратившим силу приказа Федеральной службы государственной регистрации, кадастра и картографии от 25 декабря 2020 г. N П/0489&quot; (Зарегистрировано в Минюсте России 21.11.2024 N 80264) {КонсультантПлюс}">
              <w:r>
                <w:rPr>
                  <w:sz w:val="24"/>
                  <w:color w:val="0000ff"/>
                </w:rPr>
                <w:t xml:space="preserve">Приказ</w:t>
              </w:r>
            </w:hyperlink>
            <w:r>
              <w:rPr>
                <w:sz w:val="24"/>
              </w:rPr>
              <w:t xml:space="preserve"> Росреестра от 21.10.2024 N П/0325/24 "О признании утратившим силу приказа Росреестра от 25 декабря 2020 г. N П/0489"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01.01.2025)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Подготовка схемы расположения земельного участка или земельных участков на кадастровом плане территории может осуществляться в форме электронного документа с использованием официального сайта Росреестра любым заинтересованным лицом за плату, размер которой устанавливался Росреестром.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Подготовка схемы расположения земельного участка или земельных участков на кадастровом плане территории может осуществляться бесплатно с использованием электронных сервисов ЕЦП НСПД.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Использование земельных участков и объектов недвижимости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r>
              <w:rPr>
                <w:sz w:val="24"/>
              </w:rPr>
              <w:t xml:space="preserve">Федеральный </w:t>
            </w:r>
            <w:hyperlink w:history="0" r:id="rId23" w:tooltip="Федеральный закон от 26.12.2024 N 485-ФЗ &quot;О внесении изменений в Земельный кодекс Российской Федерации, отдельные законодательные акты Российской Федерации и признании утратившей силу части 2 статьи 5 Федерального закона &quot;О внесении изменений в Земельный кодекс Российской Федерации и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26.12.2024 N 485-ФЗ "О внесении изменений в Земельный кодекс Российской Федерации, отдельные законодательные акты Российской Федерации и признании утратившей силу части 2 статьи 5 Федерального закона "О внесении изменений в Земельный кодекс Российской Федерации и отдельные законодательные акты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31.12.2024)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Предусмотрено 28 видов зон с особыми условиями использования территорий (ЗОУИТ).</w:t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 числа видов зон с особыми условиями использования территорий исключены ЗОУИТ: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охранная зона метрополитена;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зона безопасности с особым правовым режимом;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зона наблюдения;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придорожные полосы автомобильных дорог 4 и 5 категории.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716915" cy="61404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 общему правилу ЗОУИТ с 1 января 2025 г. устанавливается исключительно до получения разрешения на строительство объектов недвижимости.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 решению застройщика возможно устанавливать ЗОУИТ в отношении объектов как до, так и после получения разрешения на строительство, в зависимости от необходимости в этом.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716915" cy="61404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Досудебный порядок изменения границ и порядка действия ЗОУИТ отсутствует.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Правообладатель объекта капитального строительства и собственник объекта, в связи с размещением которого устанавливается ЗОУИТ, могут заключить соглашение, в соответствии с которым стороны могут договориться провести работы по изменению границ ЗОУИТ и снижению его влияния (например, увеличить глубину залегания газопровода, установить датчики утечки газа, установить защитный кожух, укрепить фундамент объекта, попавшего в ЗОУИТ и т.д.)</w:t>
            </w:r>
          </w:p>
        </w:tc>
      </w:tr>
      <w:tr>
        <w:tc>
          <w:tcPr>
            <w:gridSpan w:val="2"/>
            <w:tcW w:w="3345" w:type="dxa"/>
            <w:vAlign w:val="bottom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Существуют ЗОУИТы, установленные в отношении объектов, которые уже прекратили свое существование.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Введен принцип "нет объекта - нет зоны".</w:t>
            </w:r>
          </w:p>
          <w:p>
            <w:pPr>
              <w:pStyle w:val="0"/>
            </w:pPr>
            <w:r>
              <w:rPr>
                <w:sz w:val="24"/>
              </w:rPr>
              <w:t xml:space="preserve">ЗОУИТы, установленные в отношении объектов, которые уже прекратили существование либо выведены из эксплуатации, считаются прекратившими свое существование.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r>
              <w:rPr>
                <w:sz w:val="24"/>
              </w:rPr>
              <w:t xml:space="preserve">Федеральный </w:t>
            </w:r>
            <w:hyperlink w:history="0" r:id="rId25" w:tooltip="Федеральный закон от 26.12.2024 N 487-ФЗ &quot;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26.12.2024 N 487-ФЗ "О внесении изменений в отдельные законодательные акты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01.03.2025)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1896110" cy="610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Для эксплуатации здания не требуется его ставить на государственный кадастровый учет и осуществлять государственную регистрацию прав.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Введен принцип "построил - оформи" - эксплуатировать построенные здания и сооружения можно только после их оформления (осуществления государственного кадастрового учета и государственной регистрации прав).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46"/>
              </w:rPr>
              <w:drawing>
                <wp:inline distT="0" distB="0" distL="0" distR="0">
                  <wp:extent cx="746125" cy="7461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При строительстве гаражей и хозяйственных построек требуется подготовка проектной документации.</w:t>
            </w:r>
          </w:p>
        </w:tc>
        <w:tc>
          <w:tcPr>
            <w:gridSpan w:val="2"/>
            <w:tcW w:w="5542" w:type="dxa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Подготовка проектной документации не требуется при строительстве или реконструкции: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гаражей и хозяйственных построек на земельных участках, предназначенных для индивидуального жилищного строительства, ведения личного подсобного хозяйства, ведения гражданами садоводства для собственных нужд;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гаражей на земельных участках, предназначенных для строительства гаражей для собственных нужд.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Момент завершения строительства и реконструкции здания или сооружения законодательно не установлен.</w:t>
            </w:r>
          </w:p>
        </w:tc>
        <w:tc>
          <w:tcPr>
            <w:gridSpan w:val="2"/>
            <w:tcW w:w="5542" w:type="dxa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Строительство или реконструкция здания или сооружения считаются завершенными со дня: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получения разрешения на ввод в эксплуатацию здания или сооружения - если для строительства или реконструкции здания или сооружения требуется разрешение на строительство;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получения уведомления о соответствии построенного или реконструированного объекта ИЖС или садового дома требованиям законодательства о градостроительной деятельности (за исключением случаев, если строительство осуществлялось без получения уведомлений, предусмотренных </w:t>
            </w:r>
            <w:hyperlink w:history="0" r:id="rId27" w:tooltip="&quot;Градостроительный кодекс Российской Федерации&quot; от 29.12.2004 N 190-ФЗ (ред. от 26.12.2024)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статьей 51.1</w:t>
              </w:r>
            </w:hyperlink>
            <w:r>
              <w:rPr>
                <w:sz w:val="24"/>
              </w:rPr>
              <w:t xml:space="preserve"> и </w:t>
            </w:r>
            <w:hyperlink w:history="0" r:id="rId28" w:tooltip="&quot;Градостроительный кодекс Российской Федерации&quot; от 29.12.2004 N 190-ФЗ (ред. от 26.12.2024)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частью 16 статьи 55</w:t>
              </w:r>
            </w:hyperlink>
            <w:r>
              <w:rPr>
                <w:sz w:val="24"/>
              </w:rPr>
              <w:t xml:space="preserve"> Градостроительного кодекса);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осуществления государственного кадастрового учета здания или сооружения (помещений или машино-мест в таком здании или сооружении) - если получение разрешения на строительство и (или) подготовка проектной документации не требуется.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Собственники зданий, сооружений (помещений и (или) машино-мест в них) не обязаны приобретать земельные участки, на которых расположены такие здания, сооружения.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Если у собственников зданий, сооружений (помещений и (или) машино-мест в них) отсутствуют права на земельные участки, находящиеся в государственной или муниципальной собственности, на которых расположены такие здания, сооружения, они обязаны приобрести такие земельные участки в собственность или в аренду (за исключением случаев, если для возникновения прав предоставление земельных участков не требуется).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Здания, сооружения должны эксплуатироваться в соответствии с их разрешенным использованием (назначением).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Эксплуатация зданий, сооружений должна осуществляться в соответствии с их разрешенным использованием (назначением).</w:t>
            </w:r>
          </w:p>
          <w:p>
            <w:pPr>
              <w:pStyle w:val="0"/>
            </w:pPr>
            <w:r>
              <w:rPr>
                <w:sz w:val="24"/>
              </w:rPr>
              <w:t xml:space="preserve">Эксплуатация зданий, сооружений должна осуществляться с соблюдением целевого назначения и разрешенного использования земельных участков, на которых расположены такие здания, сооружения.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Застройщик вправе представлять в Росреестр заявление о государственной регистрации права собственности дольщика на квартиру или машино-место.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Застройщик обязан, если объект построен с привлечением средств участников долевого строительства, представлять в Росреестр заявление о государственной регистрации права собственности дольщика на квартиру или машино-место.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Обязанность по установлению границ земельных участков отсутствует.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границ земельного участка в ЕГРН - основание для приостановления осуществления учетно-регистрационных действий в отношении являющихся предметом сделки земельного участка либо расположенного на нем здания, сооружения.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Юридические лица вправе подавать заявления об осуществлении государственного кадастрового учета и (или) государственной регистрации недвижимости и прилагаемые к ним документы в бумажном и электронном виде.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Юридические лица подают заявления об осуществлении государственного кадастрового учета и (или) государственной регистрации недвижимости и прилагаемые к ним документы исключительно в форме электронных документов.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Должностные лица органов государственного земельного надзора могут выдавать предписания об устранении выявленных нарушений только по результатам мероприятий, проведенных во взаимодействии с контролируемыми лицами.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Должностные лица органов государственного земельного надзора также могут выдавать предписания об устранении нарушений в случае их выявления в ходе наблюдения за соблюдением обязательных требований.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Полномочие должностных лиц органов муниципального контроля по выдаче предписаний об устранении выявленных нарушений не предусмотрено Земельным кодексом Российской Федерации.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Земельным кодексом Российской Федерации предусмотрено полномочие должностных лиц органов муниципального контроля по выдаче предписаний об устранении выявленных нарушений, в том числе по результатам наблюдения за соблюдением обязательных требований.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Собственность на объект недвижимости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r>
              <w:rPr>
                <w:sz w:val="24"/>
              </w:rPr>
              <w:t xml:space="preserve">Федеральный </w:t>
            </w:r>
            <w:hyperlink w:history="0" r:id="rId29" w:tooltip="Федеральный закон от 12.12.2024 N 449-ФЗ &quot;О внесении изменений в статью 217.1 части второй Налогового кодекса Российской Федерации и статью 8 Федерального закона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12.12.2024 N 449-ФЗ "О внесении изменений в статью 217-1 части второй Налогового кодекса Российской Федерации и статью 8 Федерального закона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01.01.2025)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Срок нахождения в собственности налогоплательщика земельного участка определяется с даты возникновения права на него.</w:t>
            </w:r>
          </w:p>
        </w:tc>
        <w:tc>
          <w:tcPr>
            <w:gridSpan w:val="2"/>
            <w:tcW w:w="5542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 продаже земельных участков, предназначенных для ИЖС, ведения личного подсобного хозяйства, размещения гаражей для собственных нужд, ведения гражданами садоводства или огородничества для собственных нужд, срок владения земельным участком в случае его образования в результате раздела, объединения земельного участка (земельных участков) определяется с даты возникновения прав на исходный (исходные) земельные участки (если количество земельных участков, образованных при разделе исходного земельного участка, выделе доли или долей из земельного участка, находящегося в долевой собственности, не превышает 2).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Государственный мониторинг земель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hyperlink w:history="0" r:id="rId30" w:tooltip="Приказ Росреестра от 23.08.2024 N П/0267/24 &quot;О внесении изменений в Порядок осуществления государственного мониторинга земель, за исключением земель сельскохозяйственного назначения, утвержденный приказом Федеральной службы государственной регистрации, кадастра и картографии от 22 июля 2021 г. N П/0315&quot; (Зарегистрировано в Минюсте России 21.11.2024 N 80271) {КонсультантПлюс}">
              <w:r>
                <w:rPr>
                  <w:sz w:val="24"/>
                  <w:color w:val="0000ff"/>
                </w:rPr>
                <w:t xml:space="preserve">Приказ</w:t>
              </w:r>
            </w:hyperlink>
            <w:r>
              <w:rPr>
                <w:sz w:val="24"/>
              </w:rPr>
              <w:t xml:space="preserve"> Росреестра от 23.08.2024 N П/0267/24 "О внесении изменений в Порядок осуществления государственного мониторинга земель, за исключением земель сельскохозяйственного назначения, утвержденный приказом Федеральной службы государственной регистрации, кадастра и картографии от 22 июля 2021 г. N П/0315"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02.12.2024)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Результаты государственного мониторинга земель размещаются в государственном фонде данных государственного экологического мониторинга (государственного мониторинга окружающей среды).</w:t>
            </w:r>
          </w:p>
        </w:tc>
        <w:tc>
          <w:tcPr>
            <w:gridSpan w:val="2"/>
            <w:tcW w:w="5542" w:type="dxa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Положения Приказа приведены в соответствие с Земельным </w:t>
            </w:r>
            <w:hyperlink w:history="0" r:id="rId31" w:tooltip="&quot;Земельный кодекс Российской Федерации&quot; от 25.10.2001 N 136-ФЗ (ред. от 26.12.2024) (с изм. и доп., вступ. в силу с 19.01.2025) {КонсультантПлюс}">
              <w:r>
                <w:rPr>
                  <w:sz w:val="24"/>
                  <w:color w:val="0000ff"/>
                </w:rPr>
                <w:t xml:space="preserve">кодексом</w:t>
              </w:r>
            </w:hyperlink>
            <w:r>
              <w:rPr>
                <w:sz w:val="24"/>
              </w:rPr>
              <w:t xml:space="preserve"> Российской Федерации, Федеральным </w:t>
            </w:r>
            <w:hyperlink w:history="0" r:id="rId32" w:tooltip="Федеральный закон от 04.08.2023 N 450-ФЗ (ред. от 08.08.2024) &quot;О внесении изменений в Федеральный закон &quot;Об охране окружающей среды&quot; и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04.08.2023 г. N 450-ФЗ "О внесении изменений в Федеральный закон "Об охране окружающей среды" и отдельные законодательные акты Российской Федерации", Федеральным </w:t>
            </w:r>
            <w:hyperlink w:history="0" r:id="rId33" w:tooltip="Федеральный закон от 04.02.2021 N 3-ФЗ (ред. от 08.08.2024) &quot;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&quot;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04.02.2021 г. N 3-ФЗ "О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отношений".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gridSpan w:val="2"/>
            <w:tcW w:w="5542" w:type="dxa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Информация, полученная при осуществлении государственного мониторинга земель, а также информация о результатах государственного мониторинга земель размещается в федеральной государственной информационной системе состояния окружающей среды.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Предоставление сведений, содержащихся в ЕГРН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hyperlink w:history="0" r:id="rId34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      <w:r>
                <w:rPr>
                  <w:sz w:val="24"/>
                  <w:color w:val="0000ff"/>
                </w:rPr>
                <w:t xml:space="preserve">Приказ</w:t>
              </w:r>
            </w:hyperlink>
            <w:r>
              <w:rPr>
                <w:sz w:val="24"/>
              </w:rPr>
              <w:t xml:space="preserve"> Росреестра от 28.10.2024 N П/0335/24 "Об установлении размеров платы за предоставление сведений, содержащихся в Едином государственном реестре недвижимости, и иной информации"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01.01.2025)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Стоимость выписки из ЕГРН об основных характеристиках и зарегистрированных правах на объект недвижимости:</w:t>
            </w:r>
          </w:p>
        </w:tc>
        <w:tc>
          <w:tcPr>
            <w:gridSpan w:val="2"/>
            <w:tcW w:w="5542" w:type="dxa"/>
            <w:tcBorders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Плата за предоставление сведений из ЕГРН проиндексирована и приведена в соответствие с реальной стоимостью оформления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Стоимость выписки из ЕГРН об основных характеристиках и зарегистрированных правах на объект недвижимости: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bottom w:val="nil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left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физических лиц - 460 руб. в бумажном виде,</w:t>
            </w:r>
          </w:p>
          <w:p>
            <w:pPr>
              <w:pStyle w:val="0"/>
            </w:pPr>
            <w:r>
              <w:rPr>
                <w:sz w:val="24"/>
              </w:rPr>
              <w:t xml:space="preserve">290 руб. - в электронном виде;</w:t>
            </w:r>
          </w:p>
        </w:tc>
        <w:tc>
          <w:tcPr>
            <w:gridSpan w:val="2"/>
            <w:tcBorders>
              <w:bottom w:val="nil"/>
              <w:right w:val="nil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gridSpan w:val="2"/>
            <w:tcBorders>
              <w:right w:val="single" w:sz="4"/>
            </w:tcBorders>
            <w:vMerge w:val="continue"/>
          </w:tcPr>
          <w:p/>
        </w:tc>
        <w:tc>
          <w:tcPr>
            <w:tcBorders>
              <w:top w:val="nil"/>
              <w:left w:val="single" w:sz="4"/>
              <w:bottom w:val="nil"/>
            </w:tcBorders>
            <w:vMerge w:val="continue"/>
          </w:tcPr>
          <w:p/>
        </w:tc>
        <w:tc>
          <w:tcPr>
            <w:gridSpan w:val="4"/>
            <w:tcBorders>
              <w:top w:val="nil"/>
              <w:bottom w:val="nil"/>
              <w:right w:val="single" w:sz="4"/>
            </w:tcBorders>
            <w:vMerge w:val="continue"/>
          </w:tcPr>
          <w:p/>
        </w:tc>
        <w:tc>
          <w:tcPr>
            <w:tcW w:w="383" w:type="dxa"/>
            <w:tcBorders>
              <w:top w:val="nil"/>
              <w:left w:val="single" w:sz="4"/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физических лиц - 920 руб. в бумажном виде,</w:t>
            </w:r>
          </w:p>
          <w:p>
            <w:pPr>
              <w:pStyle w:val="0"/>
            </w:pPr>
            <w:r>
              <w:rPr>
                <w:sz w:val="24"/>
              </w:rPr>
              <w:t xml:space="preserve">580 руб. - в электронном виде;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gridSpan w:val="2"/>
            <w:tcBorders>
              <w:right w:val="single" w:sz="4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left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юридических лиц - 1270 руб. в бумажном виде,</w:t>
            </w:r>
          </w:p>
          <w:p>
            <w:pPr>
              <w:pStyle w:val="0"/>
            </w:pPr>
            <w:r>
              <w:rPr>
                <w:sz w:val="24"/>
              </w:rPr>
              <w:t xml:space="preserve">820 руб. - в электронном виде.</w:t>
            </w:r>
          </w:p>
        </w:tc>
        <w:tc>
          <w:tcPr>
            <w:tcBorders>
              <w:top w:val="nil"/>
              <w:left w:val="single" w:sz="4"/>
              <w:bottom w:val="nil"/>
            </w:tcBorders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gridSpan w:val="2"/>
            <w:tcBorders>
              <w:right w:val="single" w:sz="4"/>
            </w:tcBorders>
            <w:vMerge w:val="continue"/>
          </w:tcPr>
          <w:p/>
        </w:tc>
        <w:tc>
          <w:tcPr>
            <w:tcBorders>
              <w:top w:val="nil"/>
              <w:left w:val="single" w:sz="4"/>
            </w:tcBorders>
            <w:vMerge w:val="continue"/>
          </w:tcPr>
          <w:p/>
        </w:tc>
        <w:tc>
          <w:tcPr>
            <w:gridSpan w:val="4"/>
            <w:tcBorders>
              <w:top w:val="nil"/>
              <w:right w:val="single" w:sz="4"/>
            </w:tcBorders>
            <w:vMerge w:val="continue"/>
          </w:tcPr>
          <w:p/>
        </w:tc>
        <w:tc>
          <w:tcPr>
            <w:tcW w:w="383" w:type="dxa"/>
            <w:tcBorders>
              <w:top w:val="nil"/>
              <w:lef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для юридических лиц - 2540 руб. в бумажном виде,</w:t>
            </w:r>
          </w:p>
          <w:p>
            <w:pPr>
              <w:pStyle w:val="0"/>
            </w:pPr>
            <w:r>
              <w:rPr>
                <w:sz w:val="24"/>
              </w:rPr>
              <w:t xml:space="preserve">1640 руб. в электронном виде.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Тарифы на предоставление сведений ЕГРН посредством обеспечения доступа к ФГИС ЕГРН (пакетные тарифы) не проиндексированы.</w:t>
            </w:r>
          </w:p>
        </w:tc>
        <w:tc>
          <w:tcPr>
            <w:gridSpan w:val="2"/>
            <w:tcW w:w="5542" w:type="dxa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Максимальная стоимость одной пакетной выписки: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для физических и юридических лиц - 290 руб.;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минимальная стоимость - 116 руб.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Единая электронная картографическая основа и государственные фонды пространственных данных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hyperlink w:history="0" r:id="rId35" w:tooltip="Постановление Правительства РФ от 30.11.2024 N 1689 &quot;О внесении изменений в постановление Правительства Российской Федерации от 15 декабря 2016 г. N 1371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</w:rPr>
              <w:t xml:space="preserve"> Правительства Российской Федерации от 30.11.2024 N 1689 "О внесении изменений в постановление Правительства Российской Федерации от 15.12.2016 N 1371"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14.12.2024)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Стоимость базовой расчетной единицы при определении размера платы за использование сведений ЕЭКО составляет до 10 руб. в зависимости от вида сведений ЕЭКО, формы и разрешения.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Стоимость базовой расчетной единицы для всех видов сведений ЕЭКО - 15 руб.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Значение коэффициента предоставления сведений ЕЭКО в виде пространственных данных, содержащихся в государственных цифровых топографических картах открытого пользования и цифровых топографических планах открытого пользования, - от 0,02 до 0,45 руб.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Коэффициент предоставления сведений ЕЭКО в виде пространственных данных, содержащихся в государственных цифровых топографических картах открытого пользования и цифровых топографических планах открытого пользования, - 0,5 руб.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  <w:jc w:val="both"/>
            </w:pPr>
            <w:hyperlink w:history="0" r:id="rId36" w:tooltip="Приказ Росреестра от 29.10.2024 N П/0345/24 &quot;О внесении изменений в приложение N 2 к приказу Росреестра от 29 декабря 2020 г. N П/0498 &quot;Об установлении стоимости услуг по предоставлению пространственных данных и материалов, содержащихся в государственных фондах пространственных данных, и стоимости базовой расчетной единицы при предоставлении пространственных данных и материалов, содержащихся в федеральном и ведомственных фондах пространственных данных, а также в фонде пространственных данных федерального ор {КонсультантПлюс}">
              <w:r>
                <w:rPr>
                  <w:sz w:val="24"/>
                  <w:color w:val="0000ff"/>
                </w:rPr>
                <w:t xml:space="preserve">Приказ</w:t>
              </w:r>
            </w:hyperlink>
            <w:r>
              <w:rPr>
                <w:sz w:val="24"/>
              </w:rPr>
              <w:t xml:space="preserve"> Росреестра от 29.10.2024 N П/0345/24 "О внесении изменений в приложение N 2 к приказу Росреестра от 29 декабря 2020 г. N П/0498 Об установлении стоимости услуг по предоставлению пространственных данных и материалов, содержащихся в государственных фондах пространственных данных, и стоимости базовой расчетной единицы при предоставлении пространственных данных и материалов, содержащихся в федеральном и ведомственных фондах пространственных данных, а также в фонде пространственных данных федерального органа исполнительной власти, осуществляющего функции по выработке и реализации государственной политики, нормативно-правовому регулированию в области обороны"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06.01.2025)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81"/>
              </w:rPr>
              <w:drawing>
                <wp:inline distT="0" distB="0" distL="0" distR="0">
                  <wp:extent cx="1755775" cy="11849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Стоимость базовой расчетной единицы при предоставлении пространственных данных и материалов, содержащихся в фондах, - от 3 до 300 руб. в зависимости от вида материалов и формы представления (цифровая или аналоговая).</w:t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Стоимость базовой расчетной единицы при предоставлении пространственных данных и материалов, содержащихся в фондах, варьируется от 15 до 1000 руб. в зависимости от вида материалов и формы представления (цифровая или аналоговая).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tcW w:w="4706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Например, стоимость за сведения о пунктах государственных геодезических, нивелирных, гравиметрических сетей (за 1 пункт): в цифровой форме - 100 руб. (копия из электронного каталога) и 200 руб. (скан-копия); в аналоговой форме - 300 руб.</w:t>
            </w:r>
          </w:p>
        </w:tc>
        <w:tc>
          <w:tcPr>
            <w:gridSpan w:val="2"/>
            <w:tcW w:w="5542" w:type="dxa"/>
            <w:vAlign w:val="center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Например, стоимость за сведения о пунктах государственных геодезических, нивелирных, гравиметрических сетей (за 1 пункт):</w:t>
            </w:r>
          </w:p>
          <w:p>
            <w:pPr>
              <w:pStyle w:val="0"/>
            </w:pPr>
            <w:r>
              <w:rPr>
                <w:sz w:val="24"/>
              </w:rPr>
              <w:t xml:space="preserve">в цифровой форме - 300 руб.; в аналоговой форме - 450 руб.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304"/>
              </w:rPr>
              <w:drawing>
                <wp:inline distT="0" distB="0" distL="0" distR="0">
                  <wp:extent cx="3203575" cy="40233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575" cy="402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Росреестра</w:t>
            <w:br/>
            <w:t>"Дайджест законодательных изменений в сфере земли и недвижимости. IV квартал 2024"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image" Target="media/image2.png"/>
	<Relationship Id="rId8" Type="http://schemas.openxmlformats.org/officeDocument/2006/relationships/hyperlink" Target="https://login.consultant.ru/link/?req=doc&amp;base=LAW&amp;n=489274&amp;date=03.02.2025&amp;demo=2" TargetMode = "External"/>
	<Relationship Id="rId9" Type="http://schemas.openxmlformats.org/officeDocument/2006/relationships/image" Target="media/image3.png"/>
	<Relationship Id="rId10" Type="http://schemas.openxmlformats.org/officeDocument/2006/relationships/hyperlink" Target="https://login.consultant.ru/link/?req=doc&amp;base=LAW&amp;n=494926&amp;date=03.02.2025&amp;demo=2" TargetMode = "External"/>
	<Relationship Id="rId11" Type="http://schemas.openxmlformats.org/officeDocument/2006/relationships/hyperlink" Target="https://login.consultant.ru/link/?req=doc&amp;base=LAW&amp;n=494926&amp;date=03.02.2025&amp;demo=2" TargetMode = "External"/>
	<Relationship Id="rId12" Type="http://schemas.openxmlformats.org/officeDocument/2006/relationships/image" Target="media/image4.png"/>
	<Relationship Id="rId13" Type="http://schemas.openxmlformats.org/officeDocument/2006/relationships/image" Target="media/image5.png"/>
	<Relationship Id="rId14" Type="http://schemas.openxmlformats.org/officeDocument/2006/relationships/hyperlink" Target="https://login.consultant.ru/link/?req=doc&amp;base=LAW&amp;n=489272&amp;date=03.02.2025&amp;demo=2" TargetMode = "External"/>
	<Relationship Id="rId15" Type="http://schemas.openxmlformats.org/officeDocument/2006/relationships/image" Target="media/image6.png"/>
	<Relationship Id="rId16" Type="http://schemas.openxmlformats.org/officeDocument/2006/relationships/hyperlink" Target="https://login.consultant.ru/link/?req=doc&amp;base=LAW&amp;n=491334&amp;date=03.02.2025&amp;demo=2" TargetMode = "External"/>
	<Relationship Id="rId17" Type="http://schemas.openxmlformats.org/officeDocument/2006/relationships/hyperlink" Target="https://login.consultant.ru/link/?req=doc&amp;base=LAW&amp;n=491956&amp;date=03.02.2025&amp;demo=2" TargetMode = "External"/>
	<Relationship Id="rId18" Type="http://schemas.openxmlformats.org/officeDocument/2006/relationships/hyperlink" Target="https://login.consultant.ru/link/?req=doc&amp;base=LAW&amp;n=494429&amp;date=03.02.2025&amp;demo=2" TargetMode = "External"/>
	<Relationship Id="rId19" Type="http://schemas.openxmlformats.org/officeDocument/2006/relationships/hyperlink" Target="https://login.consultant.ru/link/?req=doc&amp;base=LAW&amp;n=494828&amp;date=03.02.2025&amp;demo=2" TargetMode = "External"/>
	<Relationship Id="rId20" Type="http://schemas.openxmlformats.org/officeDocument/2006/relationships/image" Target="media/image7.png"/>
	<Relationship Id="rId21" Type="http://schemas.openxmlformats.org/officeDocument/2006/relationships/hyperlink" Target="https://login.consultant.ru/link/?req=doc&amp;base=LAW&amp;n=493828&amp;date=03.02.2025&amp;demo=2" TargetMode = "External"/>
	<Relationship Id="rId22" Type="http://schemas.openxmlformats.org/officeDocument/2006/relationships/hyperlink" Target="https://login.consultant.ru/link/?req=doc&amp;base=LAW&amp;n=491154&amp;date=03.02.2025&amp;demo=2" TargetMode = "External"/>
	<Relationship Id="rId23" Type="http://schemas.openxmlformats.org/officeDocument/2006/relationships/hyperlink" Target="https://login.consultant.ru/link/?req=doc&amp;base=LAW&amp;n=494422&amp;date=03.02.2025&amp;demo=2" TargetMode = "External"/>
	<Relationship Id="rId24" Type="http://schemas.openxmlformats.org/officeDocument/2006/relationships/image" Target="media/image8.png"/>
	<Relationship Id="rId25" Type="http://schemas.openxmlformats.org/officeDocument/2006/relationships/hyperlink" Target="https://login.consultant.ru/link/?req=doc&amp;base=LAW&amp;n=494419&amp;date=03.02.2025&amp;demo=2" TargetMode = "External"/>
	<Relationship Id="rId26" Type="http://schemas.openxmlformats.org/officeDocument/2006/relationships/image" Target="media/image9.png"/>
	<Relationship Id="rId27" Type="http://schemas.openxmlformats.org/officeDocument/2006/relationships/hyperlink" Target="https://login.consultant.ru/link/?req=doc&amp;base=LAW&amp;n=494926&amp;date=03.02.2025&amp;dst=2579&amp;field=134&amp;demo=2" TargetMode = "External"/>
	<Relationship Id="rId28" Type="http://schemas.openxmlformats.org/officeDocument/2006/relationships/hyperlink" Target="https://login.consultant.ru/link/?req=doc&amp;base=LAW&amp;n=494926&amp;date=03.02.2025&amp;dst=4592&amp;field=134&amp;demo=2" TargetMode = "External"/>
	<Relationship Id="rId29" Type="http://schemas.openxmlformats.org/officeDocument/2006/relationships/hyperlink" Target="https://login.consultant.ru/link/?req=doc&amp;base=LAW&amp;n=492999&amp;date=03.02.2025&amp;demo=2" TargetMode = "External"/>
	<Relationship Id="rId30" Type="http://schemas.openxmlformats.org/officeDocument/2006/relationships/hyperlink" Target="https://login.consultant.ru/link/?req=doc&amp;base=LAW&amp;n=491157&amp;date=03.02.2025&amp;demo=2" TargetMode = "External"/>
	<Relationship Id="rId31" Type="http://schemas.openxmlformats.org/officeDocument/2006/relationships/hyperlink" Target="https://login.consultant.ru/link/?req=doc&amp;base=LAW&amp;n=481376&amp;date=03.02.2025&amp;demo=2" TargetMode = "External"/>
	<Relationship Id="rId32" Type="http://schemas.openxmlformats.org/officeDocument/2006/relationships/hyperlink" Target="https://login.consultant.ru/link/?req=doc&amp;base=LAW&amp;n=483050&amp;date=03.02.2025&amp;demo=2" TargetMode = "External"/>
	<Relationship Id="rId33" Type="http://schemas.openxmlformats.org/officeDocument/2006/relationships/hyperlink" Target="https://login.consultant.ru/link/?req=doc&amp;base=LAW&amp;n=483045&amp;date=03.02.2025&amp;demo=2" TargetMode = "External"/>
	<Relationship Id="rId34" Type="http://schemas.openxmlformats.org/officeDocument/2006/relationships/hyperlink" Target="https://login.consultant.ru/link/?req=doc&amp;base=LAW&amp;n=491153&amp;date=03.02.2025&amp;demo=2" TargetMode = "External"/>
	<Relationship Id="rId35" Type="http://schemas.openxmlformats.org/officeDocument/2006/relationships/hyperlink" Target="https://login.consultant.ru/link/?req=doc&amp;base=LAW&amp;n=492578&amp;date=03.02.2025&amp;demo=2" TargetMode = "External"/>
	<Relationship Id="rId36" Type="http://schemas.openxmlformats.org/officeDocument/2006/relationships/hyperlink" Target="https://login.consultant.ru/link/?req=doc&amp;base=LAW&amp;n=494472&amp;date=03.02.2025&amp;demo=2" TargetMode = "External"/>
	<Relationship Id="rId37" Type="http://schemas.openxmlformats.org/officeDocument/2006/relationships/image" Target="media/image10.png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Росреестра
"Дайджест законодательных изменений в сфере земли и недвижимости. IV квартал 2024"</dc:title>
  <dcterms:created xsi:type="dcterms:W3CDTF">2025-02-03T14:21:41Z</dcterms:created>
</cp:coreProperties>
</file>