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  <w:t xml:space="preserve">от 21 февраля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</w:t>
      </w:r>
    </w:p>
    <w:p>
      <w:pPr>
        <w:pStyle w:val="2"/>
        <w:jc w:val="center"/>
      </w:pPr>
      <w:r>
        <w:rPr>
          <w:sz w:val="24"/>
        </w:rPr>
        <w:t xml:space="preserve">УСЛОВИЯ НАЛОГООБЛОЖЕНИЯ ХОЗПОСТРОЕК ФИЗИЧЕСКИХ ЛИЦ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Не каждая хозпостройка (теплица, сарай, бытовка и т.п.) облагается налогом на имущество физлиц, а только те, которые являются недвижимостью, и сведения о которых (включая кадастровую стоимость) содержатся в Едином государственном реестре недвижимости (ЕГРН). Налоговые органы начисляют налог только на хозпостройки, сведения ЕГРН о которых получены в рамках информационного взаимодействия с органами Росреестра.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таким хозпостройкам могут относиться вспомогательные строения, сооружения, предназначенные для бытовых и иных нужд: сараи, бани, теплицы, навесы, погреба, колодцы и т.д.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внесения в ЕГРН и государственной регистрации права частной собственности на хозпостройку она должна отвечать признакам недвижимости: быть прочно связанной с землей, а ее перемещение без несоразмерного ущерба ее назначению невозможно, т.е. фактически иметь характер капитального строения.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отношении хозпостройки, внесенной в ЕГРН, определяется кадастровая стоимость. При этом налоговые органы не сами рассчитывают кадастровую стоимость объекта недвижимости, используемую для определения налоговой базы по налогу, а применяют данные Росреестра (</w:t>
      </w:r>
      <w:hyperlink w:history="0" r:id="rId6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п. 1 ст. 403</w:t>
        </w:r>
      </w:hyperlink>
      <w:r>
        <w:rPr>
          <w:sz w:val="24"/>
        </w:rPr>
        <w:t xml:space="preserve">, </w:t>
      </w:r>
      <w:hyperlink w:history="0" r:id="rId7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п. 2 ст. 408</w:t>
        </w:r>
      </w:hyperlink>
      <w:r>
        <w:rPr>
          <w:sz w:val="24"/>
        </w:rPr>
        <w:t xml:space="preserve"> НК РФ).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Хозпостройки, которые не относятся к недвижимости, т.е. объекты движимого имущества, в ЕГРН не регистрируются, их кадастровая стоимость (налоговая база) не определяется, налогом они не облагаются. Речь, в частности, о не имеющих капитального фундамента теплицах, сборно-разборных хозблоках, бытовках, навесах, некапитальных временных строениях и т.п.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хозпостройка зарегистрирована в ЕГРН, но ее площадь не более 50 кв. м, то налог с нее не взимается. Льгота применяется для одной хозпостройки, расположенной на земельных участках для ведения личного подсобного хозяйства, огородничества, садоводства или индивидуального жилищного строительства. При этом хозпостройка не должна использоваться в предпринимательской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Представительные органы муниципальных образований могут расширить условия применения налоговой льготы (например, в отношении неограниченного числа хозпостроек в пределах муниципального образования или на хозпостройки площадью более 50 кв.м). Ознакомиться с перечнем налоговых льгот можно в сервисе "Справочная информация о ставках и льготах по имущественным налогам" на официальном сайте ФНС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положения применялись и до 2025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 от 21.02.2025</w:t>
            <w:br/>
            <w:t>"ФНС России разъяснила условия налогообложения хозпостроек физических лиц"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от 21.02.2025 "ФНС России разъяснила условия налогообложения хозпостроек физических лиц"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979&amp;date=25.02.2025&amp;dst=21695&amp;field=134&amp;demo=2" TargetMode = "External"/>
	<Relationship Id="rId7" Type="http://schemas.openxmlformats.org/officeDocument/2006/relationships/hyperlink" Target="https://login.consultant.ru/link/?req=doc&amp;base=LAW&amp;n=494979&amp;date=25.02.2025&amp;dst=2678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 от 21.02.2025
"ФНС России разъяснила условия налогообложения хозпостроек физических лиц"</dc:title>
  <dcterms:created xsi:type="dcterms:W3CDTF">2025-02-25T16:33:01Z</dcterms:created>
</cp:coreProperties>
</file>