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4"/>
              </w:rPr>
              <w:t xml:space="preserve">Приказ Минстроя России от 13.02.2025 N 77/пр</w:t>
              <w:br/>
              <w:t xml:space="preserve">"О внесении изменений в состав, сроки и периодичность размещения информации поставщиками информации в государственной информационной системе жилищно-коммунального хозяйства, обязательное размещение которой предусмотрено Федеральным законом от 21 июля 2014 г. N 209-ФЗ "О государственной информационной системе жилищно-коммунального хозяйства", установленные приказом Министерства строительства и жилищно-коммунального хозяйства Российской Федерации от 7 февраля 2024 г. N 79/пр"</w:t>
              <w:br/>
              <w:t xml:space="preserve">(Зарегистрировано в Минюсте России 21.02.2025 N 81352)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26.02.2025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0"/>
        <w:outlineLvl w:val="0"/>
      </w:pPr>
      <w:r>
        <w:rPr>
          <w:sz w:val="24"/>
        </w:rPr>
        <w:t xml:space="preserve">Зарегистрировано в Минюсте России 21 февраля 2025 г. N 81352</w:t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СТРОИТЕЛЬСТВА И ЖИЛИЩНО-КОММУНАЛЬНОГО</w:t>
      </w:r>
    </w:p>
    <w:p>
      <w:pPr>
        <w:pStyle w:val="2"/>
        <w:jc w:val="center"/>
      </w:pPr>
      <w:r>
        <w:rPr>
          <w:sz w:val="24"/>
        </w:rPr>
        <w:t xml:space="preserve">ХОЗЯЙСТВА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ПРИКАЗ</w:t>
      </w:r>
    </w:p>
    <w:p>
      <w:pPr>
        <w:pStyle w:val="2"/>
        <w:jc w:val="center"/>
      </w:pPr>
      <w:r>
        <w:rPr>
          <w:sz w:val="24"/>
        </w:rPr>
        <w:t xml:space="preserve">от 13 февраля 2025 г. N 77/пр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ВНЕСЕНИИ ИЗМЕНЕНИЙ</w:t>
      </w:r>
    </w:p>
    <w:p>
      <w:pPr>
        <w:pStyle w:val="2"/>
        <w:jc w:val="center"/>
      </w:pPr>
      <w:r>
        <w:rPr>
          <w:sz w:val="24"/>
        </w:rPr>
        <w:t xml:space="preserve">В СОСТАВ, СРОКИ И ПЕРИОДИЧНОСТЬ РАЗМЕЩЕНИЯ ИНФОРМАЦИИ</w:t>
      </w:r>
    </w:p>
    <w:p>
      <w:pPr>
        <w:pStyle w:val="2"/>
        <w:jc w:val="center"/>
      </w:pPr>
      <w:r>
        <w:rPr>
          <w:sz w:val="24"/>
        </w:rPr>
        <w:t xml:space="preserve">ПОСТАВЩИКАМИ ИНФОРМАЦИИ В ГОСУДАРСТВЕННОЙ ИНФОРМАЦИОННОЙ</w:t>
      </w:r>
    </w:p>
    <w:p>
      <w:pPr>
        <w:pStyle w:val="2"/>
        <w:jc w:val="center"/>
      </w:pPr>
      <w:r>
        <w:rPr>
          <w:sz w:val="24"/>
        </w:rPr>
        <w:t xml:space="preserve">СИСТЕМЕ ЖИЛИЩНО-КОММУНАЛЬНОГО ХОЗЯЙСТВА, ОБЯЗАТЕЛЬНОЕ</w:t>
      </w:r>
    </w:p>
    <w:p>
      <w:pPr>
        <w:pStyle w:val="2"/>
        <w:jc w:val="center"/>
      </w:pPr>
      <w:r>
        <w:rPr>
          <w:sz w:val="24"/>
        </w:rPr>
        <w:t xml:space="preserve">РАЗМЕЩЕНИЕ КОТОРОЙ ПРЕДУСМОТРЕНО ФЕДЕРАЛЬНЫМ ЗАКОНОМ</w:t>
      </w:r>
    </w:p>
    <w:p>
      <w:pPr>
        <w:pStyle w:val="2"/>
        <w:jc w:val="center"/>
      </w:pPr>
      <w:r>
        <w:rPr>
          <w:sz w:val="24"/>
        </w:rPr>
        <w:t xml:space="preserve">ОТ 21 ИЮЛЯ 2014 Г. N 209-ФЗ "О ГОСУДАРСТВЕННОЙ</w:t>
      </w:r>
    </w:p>
    <w:p>
      <w:pPr>
        <w:pStyle w:val="2"/>
        <w:jc w:val="center"/>
      </w:pPr>
      <w:r>
        <w:rPr>
          <w:sz w:val="24"/>
        </w:rPr>
        <w:t xml:space="preserve">ИНФОРМАЦИОННОЙ СИСТЕМЕ ЖИЛИЩНО-КОММУНАЛЬНОГО ХОЗЯЙСТВА",</w:t>
      </w:r>
    </w:p>
    <w:p>
      <w:pPr>
        <w:pStyle w:val="2"/>
        <w:jc w:val="center"/>
      </w:pPr>
      <w:r>
        <w:rPr>
          <w:sz w:val="24"/>
        </w:rPr>
        <w:t xml:space="preserve">УСТАНОВЛЕННЫЕ ПРИКАЗОМ МИНИСТЕРСТВА СТРОИТЕЛЬСТВА</w:t>
      </w:r>
    </w:p>
    <w:p>
      <w:pPr>
        <w:pStyle w:val="2"/>
        <w:jc w:val="center"/>
      </w:pPr>
      <w:r>
        <w:rPr>
          <w:sz w:val="24"/>
        </w:rPr>
        <w:t xml:space="preserve">И ЖИЛИЩНО-КОММУНАЛЬНОГО ХОЗЯЙСТВА РОССИЙСКОЙ</w:t>
      </w:r>
    </w:p>
    <w:p>
      <w:pPr>
        <w:pStyle w:val="2"/>
        <w:jc w:val="center"/>
      </w:pPr>
      <w:r>
        <w:rPr>
          <w:sz w:val="24"/>
        </w:rPr>
        <w:t xml:space="preserve">ФЕДЕРАЦИИ ОТ 7 ФЕВРАЛЯ 2024 Г. N 79/ПР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7" w:tooltip="Федеральный закон от 21.07.2014 N 209-ФЗ (ред. от 13.12.2024) &quot;О государственной информационной системе жилищно-коммунального хозяйства&quot; {КонсультантПлюс}">
        <w:r>
          <w:rPr>
            <w:sz w:val="24"/>
            <w:color w:val="0000ff"/>
          </w:rPr>
          <w:t xml:space="preserve">пунктом 2 части 3 статьи 7</w:t>
        </w:r>
      </w:hyperlink>
      <w:r>
        <w:rPr>
          <w:sz w:val="24"/>
        </w:rPr>
        <w:t xml:space="preserve"> Федерального закона от 21 июля 2014 г. N 209-ФЗ "О государственной информационной системе жилищно-коммунального хозяйства", </w:t>
      </w:r>
      <w:hyperlink w:history="0" r:id="rId8" w:tooltip="Постановление Правительства РФ от 18.11.2013 N 1038 (ред. от 17.10.2024) &quot;О Министерстве строительства и жилищно-коммунального хозяйства Российской Федерации&quot; (вместе с &quot;Положением о Министерстве строительства и жилищно-коммунального хозяйства Российской Федерации&quot;) {КонсультантПлюс}">
        <w:r>
          <w:rPr>
            <w:sz w:val="24"/>
            <w:color w:val="0000ff"/>
          </w:rPr>
          <w:t xml:space="preserve">пунктом 1</w:t>
        </w:r>
      </w:hyperlink>
      <w:r>
        <w:rPr>
          <w:sz w:val="24"/>
        </w:rPr>
        <w:t xml:space="preserve"> Положения о Министерстве строительства и жилищно-коммунального хозяйства Российской Федерации, утвержденного постановлением Правительства Российской Федерации от 18 ноября 2013 г. N 1038, приказываю: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 Утвердить прилагаемые </w:t>
      </w:r>
      <w:hyperlink w:history="0" w:anchor="P38" w:tooltip="ИЗМЕНЕНИЯ,">
        <w:r>
          <w:rPr>
            <w:sz w:val="24"/>
            <w:color w:val="0000ff"/>
          </w:rPr>
          <w:t xml:space="preserve">изменения</w:t>
        </w:r>
      </w:hyperlink>
      <w:r>
        <w:rPr>
          <w:sz w:val="24"/>
        </w:rPr>
        <w:t xml:space="preserve">, которые вносятся в </w:t>
      </w:r>
      <w:hyperlink w:history="0" r:id="rId9" w:tooltip="Приказ Минстроя России от 07.02.2024 N 79/пр &quot;Об установлении состава, сроков и периодичности размещения информации поставщиками информации в государственной информационной системе жилищно-коммунального хозяйства, обязательное размещение которой предусмотрено Федеральным законом от 21 июля 2014 г. N 209-ФЗ &quot;О государственной информационной системе жилищно-коммунального хозяйства&quot; (Зарегистрировано в Минюсте России 29.02.2024 N 77383) {КонсультантПлюс}">
        <w:r>
          <w:rPr>
            <w:sz w:val="24"/>
            <w:color w:val="0000ff"/>
          </w:rPr>
          <w:t xml:space="preserve">состав, сроки и периодичность</w:t>
        </w:r>
      </w:hyperlink>
      <w:r>
        <w:rPr>
          <w:sz w:val="24"/>
        </w:rPr>
        <w:t xml:space="preserve"> размещения информации поставщиками информации в государственной информационной системе жилищно-коммунального хозяйства, обязательное размещение которой предусмотрено Федеральным законом от 21 июля 2014 г. N 209-ФЗ "О государственной информационной системе жилищно-коммунального хозяйства", установленные приказом Министерства строительства и жилищно-коммунального хозяйства Российской Федерации от 7 февраля 2024 г. N 79/пр (зарегистрирован Министерством юстиции Российской Федерации 29 февраля 2024 г., регистрационный N 77383).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Настоящий приказ вступает в силу с 1 сентября 2025 г.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Министр</w:t>
      </w:r>
    </w:p>
    <w:p>
      <w:pPr>
        <w:pStyle w:val="0"/>
        <w:jc w:val="right"/>
      </w:pPr>
      <w:r>
        <w:rPr>
          <w:sz w:val="24"/>
        </w:rPr>
        <w:t xml:space="preserve">И.Э.ФАЙЗУЛЛИН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Утверждены</w:t>
      </w:r>
    </w:p>
    <w:p>
      <w:pPr>
        <w:pStyle w:val="0"/>
        <w:jc w:val="right"/>
      </w:pPr>
      <w:r>
        <w:rPr>
          <w:sz w:val="24"/>
        </w:rPr>
        <w:t xml:space="preserve">приказом Министерства строительства</w:t>
      </w:r>
    </w:p>
    <w:p>
      <w:pPr>
        <w:pStyle w:val="0"/>
        <w:jc w:val="right"/>
      </w:pPr>
      <w:r>
        <w:rPr>
          <w:sz w:val="24"/>
        </w:rPr>
        <w:t xml:space="preserve">и жилищно-коммунального хозяйства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13 февраля 2025 г. N 77/пр</w:t>
      </w:r>
    </w:p>
    <w:p>
      <w:pPr>
        <w:pStyle w:val="0"/>
        <w:jc w:val="both"/>
      </w:pPr>
      <w:r>
        <w:rPr>
          <w:sz w:val="24"/>
        </w:rPr>
      </w:r>
    </w:p>
    <w:bookmarkStart w:id="38" w:name="P38"/>
    <w:bookmarkEnd w:id="38"/>
    <w:p>
      <w:pPr>
        <w:pStyle w:val="2"/>
        <w:jc w:val="center"/>
      </w:pPr>
      <w:r>
        <w:rPr>
          <w:sz w:val="24"/>
        </w:rPr>
        <w:t xml:space="preserve">ИЗМЕНЕНИЯ,</w:t>
      </w:r>
    </w:p>
    <w:p>
      <w:pPr>
        <w:pStyle w:val="2"/>
        <w:jc w:val="center"/>
      </w:pPr>
      <w:r>
        <w:rPr>
          <w:sz w:val="24"/>
        </w:rPr>
        <w:t xml:space="preserve">КОТОРЫЕ ВНОСЯТСЯ В СОСТАВ, СРОКИ И ПЕРИОДИЧНОСТЬ РАЗМЕЩЕНИЯ</w:t>
      </w:r>
    </w:p>
    <w:p>
      <w:pPr>
        <w:pStyle w:val="2"/>
        <w:jc w:val="center"/>
      </w:pPr>
      <w:r>
        <w:rPr>
          <w:sz w:val="24"/>
        </w:rPr>
        <w:t xml:space="preserve">ИНФОРМАЦИИ ПОСТАВЩИКАМИ ИНФОРМАЦИИ В ГОСУДАРСТВЕННОЙ</w:t>
      </w:r>
    </w:p>
    <w:p>
      <w:pPr>
        <w:pStyle w:val="2"/>
        <w:jc w:val="center"/>
      </w:pPr>
      <w:r>
        <w:rPr>
          <w:sz w:val="24"/>
        </w:rPr>
        <w:t xml:space="preserve">ИНФОРМАЦИОННОЙ СИСТЕМЕ ЖИЛИЩНО-КОММУНАЛЬНОГО ХОЗЯЙСТВА,</w:t>
      </w:r>
    </w:p>
    <w:p>
      <w:pPr>
        <w:pStyle w:val="2"/>
        <w:jc w:val="center"/>
      </w:pPr>
      <w:r>
        <w:rPr>
          <w:sz w:val="24"/>
        </w:rPr>
        <w:t xml:space="preserve">ОБЯЗАТЕЛЬНОЕ РАЗМЕЩЕНИЕ КОТОРОЙ ПРЕДУСМОТРЕНО ФЕДЕРАЛЬНЫМ</w:t>
      </w:r>
    </w:p>
    <w:p>
      <w:pPr>
        <w:pStyle w:val="2"/>
        <w:jc w:val="center"/>
      </w:pPr>
      <w:r>
        <w:rPr>
          <w:sz w:val="24"/>
        </w:rPr>
        <w:t xml:space="preserve">ЗАКОНОМ ОТ 21 ИЮЛЯ 2014 Г. N 209-ФЗ "О ГОСУДАРСТВЕННОЙ</w:t>
      </w:r>
    </w:p>
    <w:p>
      <w:pPr>
        <w:pStyle w:val="2"/>
        <w:jc w:val="center"/>
      </w:pPr>
      <w:r>
        <w:rPr>
          <w:sz w:val="24"/>
        </w:rPr>
        <w:t xml:space="preserve">ИНФОРМАЦИОННОЙ СИСТЕМЕ ЖИЛИЩНО-КОММУНАЛЬНОГО ХОЗЯЙСТВА",</w:t>
      </w:r>
    </w:p>
    <w:p>
      <w:pPr>
        <w:pStyle w:val="2"/>
        <w:jc w:val="center"/>
      </w:pPr>
      <w:r>
        <w:rPr>
          <w:sz w:val="24"/>
        </w:rPr>
        <w:t xml:space="preserve">УСТАНОВЛЕННЫЕ ПРИКАЗОМ МИНИСТЕРСТВА СТРОИТЕЛЬСТВА</w:t>
      </w:r>
    </w:p>
    <w:p>
      <w:pPr>
        <w:pStyle w:val="2"/>
        <w:jc w:val="center"/>
      </w:pPr>
      <w:r>
        <w:rPr>
          <w:sz w:val="24"/>
        </w:rPr>
        <w:t xml:space="preserve">И ЖИЛИЩНО-КОММУНАЛЬНОГО ХОЗЯЙСТВА РОССИЙСКОЙ</w:t>
      </w:r>
    </w:p>
    <w:p>
      <w:pPr>
        <w:pStyle w:val="2"/>
        <w:jc w:val="center"/>
      </w:pPr>
      <w:r>
        <w:rPr>
          <w:sz w:val="24"/>
        </w:rPr>
        <w:t xml:space="preserve">ФЕДЕРАЦИИ ОТ 7 ФЕВРАЛЯ 2024 Г. N 79/ПР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</w:t>
      </w:r>
      <w:hyperlink w:history="0" r:id="rId10" w:tooltip="Приказ Минстроя России от 07.02.2024 N 79/пр &quot;Об установлении состава, сроков и периодичности размещения информации поставщиками информации в государственной информационной системе жилищно-коммунального хозяйства, обязательное размещение которой предусмотрено Федеральным законом от 21 июля 2014 г. N 209-ФЗ &quot;О государственной информационной системе жилищно-коммунального хозяйства&quot; (Зарегистрировано в Минюсте России 29.02.2024 N 77383) {КонсультантПлюс}">
        <w:r>
          <w:rPr>
            <w:sz w:val="24"/>
            <w:color w:val="0000ff"/>
          </w:rPr>
          <w:t xml:space="preserve">Главу V</w:t>
        </w:r>
      </w:hyperlink>
      <w:r>
        <w:rPr>
          <w:sz w:val="24"/>
        </w:rPr>
        <w:t xml:space="preserve"> дополнить пунктом 9 следующего содержания: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  <w:t xml:space="preserve">"</w:t>
      </w:r>
    </w:p>
    <w:p>
      <w:pPr>
        <w:spacing w:before="0"/>
        <w:spacing w:after="1"/>
      </w:pP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1474"/>
        <w:gridCol w:w="4535"/>
        <w:gridCol w:w="3061"/>
      </w:tblGrid>
      <w:tr>
        <w:tc>
          <w:tcPr>
            <w:tcW w:w="1474" w:type="dxa"/>
          </w:tcPr>
          <w:p>
            <w:pPr>
              <w:pStyle w:val="0"/>
            </w:pPr>
            <w:r>
              <w:rPr>
                <w:sz w:val="24"/>
              </w:rPr>
              <w:t xml:space="preserve">9.</w:t>
            </w:r>
          </w:p>
        </w:tc>
        <w:tc>
          <w:tcPr>
            <w:gridSpan w:val="2"/>
            <w:tcW w:w="7596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Информация о лицензиях на осуществление предпринимательской деятельности по управлению многоквартирными домами:</w:t>
            </w:r>
          </w:p>
        </w:tc>
      </w:tr>
      <w:tr>
        <w:tc>
          <w:tcPr>
            <w:tcW w:w="1474" w:type="dxa"/>
          </w:tcPr>
          <w:p>
            <w:pPr>
              <w:pStyle w:val="0"/>
            </w:pPr>
            <w:r>
              <w:rPr>
                <w:sz w:val="24"/>
              </w:rPr>
              <w:t xml:space="preserve">9.1.</w:t>
            </w:r>
          </w:p>
        </w:tc>
        <w:tc>
          <w:tcPr>
            <w:tcW w:w="4535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Информация о выданной лицензии:</w:t>
            </w:r>
          </w:p>
        </w:tc>
        <w:tc>
          <w:tcPr>
            <w:tcW w:w="3061" w:type="dxa"/>
            <w:vMerge w:val="restart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Не позднее дня принятия органом государственного жилищного надзора субъекта Российской Федерации (далее - лицензирующий орган) решения о выдаче (переоформлении) лицензии</w:t>
            </w:r>
          </w:p>
        </w:tc>
      </w:tr>
      <w:tr>
        <w:tc>
          <w:tcPr>
            <w:tcW w:w="1474" w:type="dxa"/>
          </w:tcPr>
          <w:p>
            <w:pPr>
              <w:pStyle w:val="0"/>
            </w:pPr>
            <w:r>
              <w:rPr>
                <w:sz w:val="24"/>
              </w:rPr>
              <w:t xml:space="preserve">9.1.1.</w:t>
            </w:r>
          </w:p>
        </w:tc>
        <w:tc>
          <w:tcPr>
            <w:tcW w:w="4535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Номер и дата выдачи лицензии</w:t>
            </w:r>
          </w:p>
        </w:tc>
        <w:tc>
          <w:tcPr>
            <w:vMerge w:val="continue"/>
          </w:tcPr>
          <w:p/>
        </w:tc>
      </w:tr>
      <w:tr>
        <w:tc>
          <w:tcPr>
            <w:tcW w:w="1474" w:type="dxa"/>
          </w:tcPr>
          <w:p>
            <w:pPr>
              <w:pStyle w:val="0"/>
            </w:pPr>
            <w:r>
              <w:rPr>
                <w:sz w:val="24"/>
              </w:rPr>
              <w:t xml:space="preserve">9.1.2.</w:t>
            </w:r>
          </w:p>
        </w:tc>
        <w:tc>
          <w:tcPr>
            <w:tcW w:w="4535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Дата утверждения и номер приказа (распоряжение) о предоставлении лицензии</w:t>
            </w:r>
          </w:p>
        </w:tc>
        <w:tc>
          <w:tcPr>
            <w:vMerge w:val="continue"/>
          </w:tcPr>
          <w:p/>
        </w:tc>
      </w:tr>
      <w:tr>
        <w:tc>
          <w:tcPr>
            <w:tcW w:w="1474" w:type="dxa"/>
          </w:tcPr>
          <w:p>
            <w:pPr>
              <w:pStyle w:val="0"/>
            </w:pPr>
            <w:r>
              <w:rPr>
                <w:sz w:val="24"/>
              </w:rPr>
              <w:t xml:space="preserve">9.1.3.</w:t>
            </w:r>
          </w:p>
        </w:tc>
        <w:tc>
          <w:tcPr>
            <w:tcW w:w="4535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Адрес осуществления лицензиатом лицензируемого вида деятельности</w:t>
            </w:r>
          </w:p>
        </w:tc>
        <w:tc>
          <w:tcPr>
            <w:vMerge w:val="continue"/>
          </w:tcPr>
          <w:p/>
        </w:tc>
      </w:tr>
      <w:tr>
        <w:tc>
          <w:tcPr>
            <w:tcW w:w="1474" w:type="dxa"/>
          </w:tcPr>
          <w:p>
            <w:pPr>
              <w:pStyle w:val="0"/>
            </w:pPr>
            <w:r>
              <w:rPr>
                <w:sz w:val="24"/>
              </w:rPr>
              <w:t xml:space="preserve">9.1.4.</w:t>
            </w:r>
          </w:p>
        </w:tc>
        <w:tc>
          <w:tcPr>
            <w:tcW w:w="4535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ОГРН (ОГРНИП для индивидуального предпринимателя) лицензиата</w:t>
            </w:r>
          </w:p>
        </w:tc>
        <w:tc>
          <w:tcPr>
            <w:vMerge w:val="continue"/>
          </w:tcPr>
          <w:p/>
        </w:tc>
      </w:tr>
      <w:tr>
        <w:tc>
          <w:tcPr>
            <w:tcW w:w="1474" w:type="dxa"/>
          </w:tcPr>
          <w:p>
            <w:pPr>
              <w:pStyle w:val="0"/>
            </w:pPr>
            <w:r>
              <w:rPr>
                <w:sz w:val="24"/>
              </w:rPr>
              <w:t xml:space="preserve">9.2.</w:t>
            </w:r>
          </w:p>
        </w:tc>
        <w:tc>
          <w:tcPr>
            <w:tcW w:w="4535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Перечень адресов многоквартирных домов, в отношении которых лицензиат осуществляет деятельность по управлению многоквартирным домом:</w:t>
            </w:r>
          </w:p>
        </w:tc>
        <w:tc>
          <w:tcPr>
            <w:tcW w:w="3061" w:type="dxa"/>
            <w:vMerge w:val="restart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Не позднее дня принятия лицензирующим органом решения о внесении изменений в реестр лицензий субъекта Российской Федерации</w:t>
            </w:r>
          </w:p>
        </w:tc>
      </w:tr>
      <w:tr>
        <w:tc>
          <w:tcPr>
            <w:tcW w:w="1474" w:type="dxa"/>
          </w:tcPr>
          <w:p>
            <w:pPr>
              <w:pStyle w:val="0"/>
            </w:pPr>
            <w:r>
              <w:rPr>
                <w:sz w:val="24"/>
              </w:rPr>
              <w:t xml:space="preserve">9.2.1.</w:t>
            </w:r>
          </w:p>
        </w:tc>
        <w:tc>
          <w:tcPr>
            <w:tcW w:w="4535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Адрес многоквартирного дома</w:t>
            </w:r>
          </w:p>
        </w:tc>
        <w:tc>
          <w:tcPr>
            <w:vMerge w:val="continue"/>
          </w:tcPr>
          <w:p/>
        </w:tc>
      </w:tr>
      <w:tr>
        <w:tc>
          <w:tcPr>
            <w:tcW w:w="1474" w:type="dxa"/>
          </w:tcPr>
          <w:p>
            <w:pPr>
              <w:pStyle w:val="0"/>
            </w:pPr>
            <w:r>
              <w:rPr>
                <w:sz w:val="24"/>
              </w:rPr>
              <w:t xml:space="preserve">9.2.2.</w:t>
            </w:r>
          </w:p>
        </w:tc>
        <w:tc>
          <w:tcPr>
            <w:tcW w:w="4535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Дата включения многоквартирного дома в реестр лицензий субъекта Российской Федерации</w:t>
            </w:r>
          </w:p>
        </w:tc>
        <w:tc>
          <w:tcPr>
            <w:vMerge w:val="continue"/>
          </w:tcPr>
          <w:p/>
        </w:tc>
      </w:tr>
      <w:tr>
        <w:tc>
          <w:tcPr>
            <w:tcW w:w="1474" w:type="dxa"/>
          </w:tcPr>
          <w:p>
            <w:pPr>
              <w:pStyle w:val="0"/>
            </w:pPr>
            <w:r>
              <w:rPr>
                <w:sz w:val="24"/>
              </w:rPr>
              <w:t xml:space="preserve">9.2.3.</w:t>
            </w:r>
          </w:p>
        </w:tc>
        <w:tc>
          <w:tcPr>
            <w:tcW w:w="4535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Дата исключения многоквартирного дома из реестра лицензий субъекта Российской Федерации</w:t>
            </w:r>
          </w:p>
        </w:tc>
        <w:tc>
          <w:tcPr>
            <w:vMerge w:val="continue"/>
          </w:tcPr>
          <w:p/>
        </w:tc>
      </w:tr>
      <w:tr>
        <w:tc>
          <w:tcPr>
            <w:tcW w:w="1474" w:type="dxa"/>
          </w:tcPr>
          <w:p>
            <w:pPr>
              <w:pStyle w:val="0"/>
            </w:pPr>
            <w:r>
              <w:rPr>
                <w:sz w:val="24"/>
              </w:rPr>
              <w:t xml:space="preserve">9.2.4.</w:t>
            </w:r>
          </w:p>
        </w:tc>
        <w:tc>
          <w:tcPr>
            <w:tcW w:w="4535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Сведения об исполнении обязанности по управлению многоквартирным домом, оказанию услуг и (или) выполнению работ по содержанию и ремонту общего имущества в многоквартирном доме в случае исключения сведений о многоквартирном доме из реестра лицензий субъекта Российской Федерации, а также в случае, если срок действия лицензии не продлен, действие лицензии прекращено или она аннулирована (информация размещается путем выбора одной из позиций, предусмотренных подпунктами 9.2.4.1, 9.2.4.2 пункта 9 настоящей главы):</w:t>
            </w:r>
          </w:p>
        </w:tc>
        <w:tc>
          <w:tcPr>
            <w:vMerge w:val="continue"/>
          </w:tcPr>
          <w:p/>
        </w:tc>
      </w:tr>
      <w:tr>
        <w:tc>
          <w:tcPr>
            <w:tcW w:w="1474" w:type="dxa"/>
          </w:tcPr>
          <w:p>
            <w:pPr>
              <w:pStyle w:val="0"/>
            </w:pPr>
            <w:r>
              <w:rPr>
                <w:sz w:val="24"/>
              </w:rPr>
              <w:t xml:space="preserve">9.2.4.1.</w:t>
            </w:r>
          </w:p>
        </w:tc>
        <w:tc>
          <w:tcPr>
            <w:tcW w:w="4535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Возникновение исполнения обязанности</w:t>
            </w:r>
          </w:p>
        </w:tc>
        <w:tc>
          <w:tcPr>
            <w:tcW w:w="3061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Не позднее дня принятия лицензирующим органом решения о внесении изменений в реестр лицензий субъекта Российской Федерации, если по состоянию на указанную дату не наступили события, предусмотренные </w:t>
            </w:r>
            <w:hyperlink w:history="0" r:id="rId11" w:tooltip="&quot;Жилищный кодекс Российской Федерации&quot; от 29.12.2004 N 188-ФЗ (ред. от 03.02.2025) {КонсультантПлюс}">
              <w:r>
                <w:rPr>
                  <w:sz w:val="24"/>
                  <w:color w:val="0000ff"/>
                </w:rPr>
                <w:t xml:space="preserve">подпунктами 1</w:t>
              </w:r>
            </w:hyperlink>
            <w:r>
              <w:rPr>
                <w:sz w:val="24"/>
              </w:rPr>
              <w:t xml:space="preserve"> - </w:t>
            </w:r>
            <w:hyperlink w:history="0" r:id="rId12" w:tooltip="&quot;Жилищный кодекс Российской Федерации&quot; от 29.12.2004 N 188-ФЗ (ред. от 03.02.2025) {КонсультантПлюс}">
              <w:r>
                <w:rPr>
                  <w:sz w:val="24"/>
                  <w:color w:val="0000ff"/>
                </w:rPr>
                <w:t xml:space="preserve">4 части 3 статьи 200</w:t>
              </w:r>
            </w:hyperlink>
            <w:r>
              <w:rPr>
                <w:sz w:val="24"/>
              </w:rPr>
              <w:t xml:space="preserve"> Жилищного кодекса Российской Федерации</w:t>
            </w:r>
          </w:p>
        </w:tc>
      </w:tr>
      <w:tr>
        <w:tc>
          <w:tcPr>
            <w:tcW w:w="1474" w:type="dxa"/>
          </w:tcPr>
          <w:p>
            <w:pPr>
              <w:pStyle w:val="0"/>
            </w:pPr>
            <w:r>
              <w:rPr>
                <w:sz w:val="24"/>
              </w:rPr>
              <w:t xml:space="preserve">9.2.4.2.</w:t>
            </w:r>
          </w:p>
        </w:tc>
        <w:tc>
          <w:tcPr>
            <w:tcW w:w="4535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Прекращение исполнения обязанности</w:t>
            </w:r>
          </w:p>
        </w:tc>
        <w:tc>
          <w:tcPr>
            <w:tcW w:w="3061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Не позднее дня, следующего за днем получения лицензирующим органом сведений о наступлении событий, предусмотренных </w:t>
            </w:r>
            <w:hyperlink w:history="0" r:id="rId13" w:tooltip="&quot;Жилищный кодекс Российской Федерации&quot; от 29.12.2004 N 188-ФЗ (ред. от 03.02.2025) {КонсультантПлюс}">
              <w:r>
                <w:rPr>
                  <w:sz w:val="24"/>
                  <w:color w:val="0000ff"/>
                </w:rPr>
                <w:t xml:space="preserve">подпунктами 1</w:t>
              </w:r>
            </w:hyperlink>
            <w:r>
              <w:rPr>
                <w:sz w:val="24"/>
              </w:rPr>
              <w:t xml:space="preserve"> - </w:t>
            </w:r>
            <w:hyperlink w:history="0" r:id="rId14" w:tooltip="&quot;Жилищный кодекс Российской Федерации&quot; от 29.12.2004 N 188-ФЗ (ред. от 03.02.2025) {КонсультантПлюс}">
              <w:r>
                <w:rPr>
                  <w:sz w:val="24"/>
                  <w:color w:val="0000ff"/>
                </w:rPr>
                <w:t xml:space="preserve">4 части 3 статьи 200</w:t>
              </w:r>
            </w:hyperlink>
            <w:r>
              <w:rPr>
                <w:sz w:val="24"/>
              </w:rPr>
              <w:t xml:space="preserve"> Жилищного кодекса Российской Федерации</w:t>
            </w:r>
          </w:p>
        </w:tc>
      </w:tr>
      <w:tr>
        <w:tc>
          <w:tcPr>
            <w:tcW w:w="1474" w:type="dxa"/>
          </w:tcPr>
          <w:p>
            <w:pPr>
              <w:pStyle w:val="0"/>
            </w:pPr>
            <w:r>
              <w:rPr>
                <w:sz w:val="24"/>
              </w:rPr>
              <w:t xml:space="preserve">9.3.</w:t>
            </w:r>
          </w:p>
        </w:tc>
        <w:tc>
          <w:tcPr>
            <w:tcW w:w="4535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Информация о решении лицензирующего органа об исключении многоквартирного дома из реестра лицензий субъекта Российской Федерации:</w:t>
            </w:r>
          </w:p>
        </w:tc>
        <w:tc>
          <w:tcPr>
            <w:tcW w:w="3061" w:type="dxa"/>
            <w:vMerge w:val="restart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Не позднее дня принятия лицензирующим органом решения об исключении сведений о многоквартирном доме из реестра лицензий субъекта Российской Федерации</w:t>
            </w:r>
          </w:p>
        </w:tc>
      </w:tr>
      <w:tr>
        <w:tc>
          <w:tcPr>
            <w:tcW w:w="1474" w:type="dxa"/>
          </w:tcPr>
          <w:p>
            <w:pPr>
              <w:pStyle w:val="0"/>
            </w:pPr>
            <w:r>
              <w:rPr>
                <w:sz w:val="24"/>
              </w:rPr>
              <w:t xml:space="preserve">9.3.1.</w:t>
            </w:r>
          </w:p>
        </w:tc>
        <w:tc>
          <w:tcPr>
            <w:tcW w:w="4535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Информация о решении об исключении многоквартирного дома из реестра лицензий субъекта Российской Федерации</w:t>
            </w:r>
          </w:p>
        </w:tc>
        <w:tc>
          <w:tcPr>
            <w:vMerge w:val="continue"/>
          </w:tcPr>
          <w:p/>
        </w:tc>
      </w:tr>
      <w:tr>
        <w:tc>
          <w:tcPr>
            <w:tcW w:w="1474" w:type="dxa"/>
          </w:tcPr>
          <w:p>
            <w:pPr>
              <w:pStyle w:val="0"/>
            </w:pPr>
            <w:r>
              <w:rPr>
                <w:sz w:val="24"/>
              </w:rPr>
              <w:t xml:space="preserve">9.3.2.</w:t>
            </w:r>
          </w:p>
        </w:tc>
        <w:tc>
          <w:tcPr>
            <w:tcW w:w="4535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Основание исключения многоквартирного дома из реестра лицензий субъекта Российской Федерации</w:t>
            </w:r>
          </w:p>
        </w:tc>
        <w:tc>
          <w:tcPr>
            <w:vMerge w:val="continue"/>
          </w:tcPr>
          <w:p/>
        </w:tc>
      </w:tr>
      <w:tr>
        <w:tc>
          <w:tcPr>
            <w:tcW w:w="1474" w:type="dxa"/>
          </w:tcPr>
          <w:p>
            <w:pPr>
              <w:pStyle w:val="0"/>
            </w:pPr>
            <w:r>
              <w:rPr>
                <w:sz w:val="24"/>
              </w:rPr>
              <w:t xml:space="preserve">9.4.</w:t>
            </w:r>
          </w:p>
        </w:tc>
        <w:tc>
          <w:tcPr>
            <w:tcW w:w="4535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Информация о прекращении действия лицензии:</w:t>
            </w:r>
          </w:p>
        </w:tc>
        <w:tc>
          <w:tcPr>
            <w:tcW w:w="3061" w:type="dxa"/>
            <w:vMerge w:val="restart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Не позднее дня принятия лицензирующим органом решения о прекращении действия лицензии или не позднее дня, следующего за днем получения информации о вступлении в законную силу решения суда об аннулировании лицензии</w:t>
            </w:r>
          </w:p>
        </w:tc>
      </w:tr>
      <w:tr>
        <w:tc>
          <w:tcPr>
            <w:tcW w:w="1474" w:type="dxa"/>
          </w:tcPr>
          <w:p>
            <w:pPr>
              <w:pStyle w:val="0"/>
            </w:pPr>
            <w:r>
              <w:rPr>
                <w:sz w:val="24"/>
              </w:rPr>
              <w:t xml:space="preserve">9.4.1.</w:t>
            </w:r>
          </w:p>
        </w:tc>
        <w:tc>
          <w:tcPr>
            <w:tcW w:w="4535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Информация о решении лицензирующего органа о прекращении действия лицензии или решение суда об аннулировании лицензии</w:t>
            </w:r>
          </w:p>
        </w:tc>
        <w:tc>
          <w:tcPr>
            <w:vMerge w:val="continue"/>
          </w:tcPr>
          <w:p/>
        </w:tc>
      </w:tr>
      <w:tr>
        <w:tc>
          <w:tcPr>
            <w:tcW w:w="1474" w:type="dxa"/>
          </w:tcPr>
          <w:p>
            <w:pPr>
              <w:pStyle w:val="0"/>
            </w:pPr>
            <w:r>
              <w:rPr>
                <w:sz w:val="24"/>
              </w:rPr>
              <w:t xml:space="preserve">9.4.2.</w:t>
            </w:r>
          </w:p>
        </w:tc>
        <w:tc>
          <w:tcPr>
            <w:tcW w:w="4535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Документ, являющийся основанием прекращения действия (аннулирования) лицензии</w:t>
            </w:r>
          </w:p>
        </w:tc>
        <w:tc>
          <w:tcPr>
            <w:vMerge w:val="continue"/>
          </w:tcPr>
          <w:p/>
        </w:tc>
      </w:tr>
      <w:tr>
        <w:tc>
          <w:tcPr>
            <w:tcW w:w="1474" w:type="dxa"/>
          </w:tcPr>
          <w:p>
            <w:pPr>
              <w:pStyle w:val="0"/>
            </w:pPr>
            <w:r>
              <w:rPr>
                <w:sz w:val="24"/>
              </w:rPr>
              <w:t xml:space="preserve">9.4.3.</w:t>
            </w:r>
          </w:p>
        </w:tc>
        <w:tc>
          <w:tcPr>
            <w:tcW w:w="4535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Дата прекращения действия лицензии</w:t>
            </w:r>
          </w:p>
        </w:tc>
        <w:tc>
          <w:tcPr>
            <w:vMerge w:val="continue"/>
          </w:tcPr>
          <w:p/>
        </w:tc>
      </w:tr>
      <w:tr>
        <w:tc>
          <w:tcPr>
            <w:tcW w:w="1474" w:type="dxa"/>
          </w:tcPr>
          <w:p>
            <w:pPr>
              <w:pStyle w:val="0"/>
            </w:pPr>
            <w:r>
              <w:rPr>
                <w:sz w:val="24"/>
              </w:rPr>
              <w:t xml:space="preserve">9.5.</w:t>
            </w:r>
          </w:p>
        </w:tc>
        <w:tc>
          <w:tcPr>
            <w:tcW w:w="4535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Информация о лицах, осуществлявших функции единоличного исполнительного органа лицензиата, лицензия которого аннулирована, лицах, являвшихся учредителями (участниками) лицензиата, лицензия которого аннулирована и доля в уставном капитале которого превышала пятьдесят процентов, а также лицах, в том числе являвшихся учредителями (участниками) лицензиата, доля в уставном капитале которого превышала пятьдесят процентов, на которых уставом или иными документами лицензиата возложена ответственность за соблюдение требований к обеспечению надлежащего содержания общего имущества в многоквартирном доме и в отношении которых применено административное наказание в виде дисквалификации, индивидуальных предпринимателей, лицензия которых аннулирована и (или) в отношении которых применено административное наказание в виде дисквалификации:</w:t>
            </w:r>
          </w:p>
        </w:tc>
        <w:tc>
          <w:tcPr>
            <w:tcW w:w="3061" w:type="dxa"/>
            <w:tcBorders>
              <w:bottom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Не позднее дня, следующего за днем получения информации о вступлении в законную силу решения суда</w:t>
            </w:r>
          </w:p>
        </w:tc>
      </w:tr>
      <w:tr>
        <w:tc>
          <w:tcPr>
            <w:tcW w:w="1474" w:type="dxa"/>
          </w:tcPr>
          <w:p>
            <w:pPr>
              <w:pStyle w:val="0"/>
            </w:pPr>
            <w:r>
              <w:rPr>
                <w:sz w:val="24"/>
              </w:rPr>
              <w:t xml:space="preserve">9.5.1.</w:t>
            </w:r>
          </w:p>
        </w:tc>
        <w:tc>
          <w:tcPr>
            <w:tcW w:w="4535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Фамилия, имя, отчество (при наличии) дисквалифицированного лица</w:t>
            </w:r>
          </w:p>
        </w:tc>
        <w:tc>
          <w:tcPr>
            <w:tcW w:w="3061" w:type="dxa"/>
            <w:tcBorders>
              <w:top w:val="nil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1474" w:type="dxa"/>
          </w:tcPr>
          <w:p>
            <w:pPr>
              <w:pStyle w:val="0"/>
            </w:pPr>
            <w:r>
              <w:rPr>
                <w:sz w:val="24"/>
              </w:rPr>
              <w:t xml:space="preserve">9.5.2.</w:t>
            </w:r>
          </w:p>
        </w:tc>
        <w:tc>
          <w:tcPr>
            <w:tcW w:w="4535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Дата и место рождения дисквалифицированного лица</w:t>
            </w:r>
          </w:p>
        </w:tc>
        <w:tc>
          <w:tcPr>
            <w:tcBorders>
              <w:top w:val="nil"/>
            </w:tcBorders>
            <w:vMerge w:val="continue"/>
          </w:tcPr>
          <w:p/>
        </w:tc>
      </w:tr>
      <w:tr>
        <w:tc>
          <w:tcPr>
            <w:tcW w:w="1474" w:type="dxa"/>
          </w:tcPr>
          <w:p>
            <w:pPr>
              <w:pStyle w:val="0"/>
            </w:pPr>
            <w:r>
              <w:rPr>
                <w:sz w:val="24"/>
              </w:rPr>
              <w:t xml:space="preserve">9.5.3.</w:t>
            </w:r>
          </w:p>
        </w:tc>
        <w:tc>
          <w:tcPr>
            <w:tcW w:w="4535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ОГРН (ОГРНИП для индивидуального предпринимателя) организации, в которой лицо работало или являлось учредителем (участником) лицензиата во время совершения административного правонарушения или на дату вступления в законную силу решения суда об аннулировании лицензии</w:t>
            </w:r>
          </w:p>
        </w:tc>
        <w:tc>
          <w:tcPr>
            <w:tcBorders>
              <w:top w:val="nil"/>
            </w:tcBorders>
            <w:vMerge w:val="continue"/>
          </w:tcPr>
          <w:p/>
        </w:tc>
      </w:tr>
      <w:tr>
        <w:tc>
          <w:tcPr>
            <w:tcW w:w="1474" w:type="dxa"/>
          </w:tcPr>
          <w:p>
            <w:pPr>
              <w:pStyle w:val="0"/>
            </w:pPr>
            <w:r>
              <w:rPr>
                <w:sz w:val="24"/>
              </w:rPr>
              <w:t xml:space="preserve">9.5.4.</w:t>
            </w:r>
          </w:p>
        </w:tc>
        <w:tc>
          <w:tcPr>
            <w:tcW w:w="4535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Должность, на которой указанное лицо работало во время совершения указанного правонарушения или на дату вступления в законную силу решения суда об аннулировании лицензии, либо являлось учредителем (участником) лицензиата</w:t>
            </w:r>
          </w:p>
        </w:tc>
        <w:tc>
          <w:tcPr>
            <w:tcBorders>
              <w:top w:val="nil"/>
            </w:tcBorders>
            <w:vMerge w:val="continue"/>
          </w:tcPr>
          <w:p/>
        </w:tc>
      </w:tr>
      <w:tr>
        <w:tc>
          <w:tcPr>
            <w:tcW w:w="1474" w:type="dxa"/>
          </w:tcPr>
          <w:p>
            <w:pPr>
              <w:pStyle w:val="0"/>
            </w:pPr>
            <w:r>
              <w:rPr>
                <w:sz w:val="24"/>
              </w:rPr>
              <w:t xml:space="preserve">9.5.5.</w:t>
            </w:r>
          </w:p>
        </w:tc>
        <w:tc>
          <w:tcPr>
            <w:tcW w:w="4535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Наименование суда, вынесшего решение об аннулировании лицензии или постановление о дисквалификации</w:t>
            </w:r>
          </w:p>
        </w:tc>
        <w:tc>
          <w:tcPr>
            <w:tcBorders>
              <w:top w:val="nil"/>
            </w:tcBorders>
            <w:vMerge w:val="continue"/>
          </w:tcPr>
          <w:p/>
        </w:tc>
      </w:tr>
      <w:tr>
        <w:tc>
          <w:tcPr>
            <w:tcW w:w="1474" w:type="dxa"/>
          </w:tcPr>
          <w:p>
            <w:pPr>
              <w:pStyle w:val="0"/>
            </w:pPr>
            <w:r>
              <w:rPr>
                <w:sz w:val="24"/>
              </w:rPr>
              <w:t xml:space="preserve">9.5.6.</w:t>
            </w:r>
          </w:p>
        </w:tc>
        <w:tc>
          <w:tcPr>
            <w:tcW w:w="4535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Основание включения в реестр дисквалифицированных лиц:</w:t>
            </w:r>
          </w:p>
        </w:tc>
        <w:tc>
          <w:tcPr>
            <w:tcBorders>
              <w:top w:val="nil"/>
            </w:tcBorders>
            <w:vMerge w:val="continue"/>
          </w:tcPr>
          <w:p/>
        </w:tc>
      </w:tr>
      <w:tr>
        <w:tc>
          <w:tcPr>
            <w:tcW w:w="1474" w:type="dxa"/>
          </w:tcPr>
          <w:p>
            <w:pPr>
              <w:pStyle w:val="0"/>
            </w:pPr>
            <w:r>
              <w:rPr>
                <w:sz w:val="24"/>
              </w:rPr>
              <w:t xml:space="preserve">9.5.6.1.</w:t>
            </w:r>
          </w:p>
        </w:tc>
        <w:tc>
          <w:tcPr>
            <w:tcW w:w="4535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Документ, являющийся основанием для включения в реестр дисквалифицированных лиц</w:t>
            </w:r>
          </w:p>
        </w:tc>
        <w:tc>
          <w:tcPr>
            <w:tcBorders>
              <w:top w:val="nil"/>
            </w:tcBorders>
            <w:vMerge w:val="continue"/>
          </w:tcPr>
          <w:p/>
        </w:tc>
      </w:tr>
      <w:tr>
        <w:tc>
          <w:tcPr>
            <w:tcW w:w="1474" w:type="dxa"/>
          </w:tcPr>
          <w:p>
            <w:pPr>
              <w:pStyle w:val="0"/>
            </w:pPr>
            <w:r>
              <w:rPr>
                <w:sz w:val="24"/>
              </w:rPr>
              <w:t xml:space="preserve">9.5.6.2.</w:t>
            </w:r>
          </w:p>
        </w:tc>
        <w:tc>
          <w:tcPr>
            <w:tcW w:w="4535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Срок дисквалификации</w:t>
            </w:r>
          </w:p>
        </w:tc>
        <w:tc>
          <w:tcPr>
            <w:tcBorders>
              <w:top w:val="nil"/>
            </w:tcBorders>
            <w:vMerge w:val="continue"/>
          </w:tcPr>
          <w:p/>
        </w:tc>
      </w:tr>
      <w:tr>
        <w:tc>
          <w:tcPr>
            <w:tcW w:w="1474" w:type="dxa"/>
          </w:tcPr>
          <w:p>
            <w:pPr>
              <w:pStyle w:val="0"/>
            </w:pPr>
            <w:r>
              <w:rPr>
                <w:sz w:val="24"/>
              </w:rPr>
              <w:t xml:space="preserve">9.5.6.3.</w:t>
            </w:r>
          </w:p>
        </w:tc>
        <w:tc>
          <w:tcPr>
            <w:tcW w:w="4535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Дата исключения сведений из реестра дисквалифицированных лиц</w:t>
            </w:r>
          </w:p>
        </w:tc>
        <w:tc>
          <w:tcPr>
            <w:tcBorders>
              <w:top w:val="nil"/>
            </w:tcBorders>
            <w:vMerge w:val="continue"/>
          </w:tcPr>
          <w:p/>
        </w:tc>
      </w:tr>
      <w:tr>
        <w:tc>
          <w:tcPr>
            <w:tcW w:w="1474" w:type="dxa"/>
          </w:tcPr>
          <w:p>
            <w:pPr>
              <w:pStyle w:val="0"/>
            </w:pPr>
            <w:r>
              <w:rPr>
                <w:sz w:val="24"/>
              </w:rPr>
              <w:t xml:space="preserve">9.6.</w:t>
            </w:r>
          </w:p>
        </w:tc>
        <w:tc>
          <w:tcPr>
            <w:tcW w:w="4535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Информация об отмене аннулирования лицензии:</w:t>
            </w:r>
          </w:p>
        </w:tc>
        <w:tc>
          <w:tcPr>
            <w:tcW w:w="3061" w:type="dxa"/>
            <w:vMerge w:val="restart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Не позднее 5 дней со дня получения информации о вступлении в законную силу решения суда об отмене решения об аннулировании лицензии</w:t>
            </w:r>
          </w:p>
        </w:tc>
      </w:tr>
      <w:tr>
        <w:tc>
          <w:tcPr>
            <w:tcW w:w="1474" w:type="dxa"/>
          </w:tcPr>
          <w:p>
            <w:pPr>
              <w:pStyle w:val="0"/>
            </w:pPr>
            <w:r>
              <w:rPr>
                <w:sz w:val="24"/>
              </w:rPr>
              <w:t xml:space="preserve">9.6.1.</w:t>
            </w:r>
          </w:p>
        </w:tc>
        <w:tc>
          <w:tcPr>
            <w:tcW w:w="4535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Информация о решении лицензирующего органа о возобновлении действия лицензии на основании решения суда об отмене аннулирования лицензии</w:t>
            </w:r>
          </w:p>
        </w:tc>
        <w:tc>
          <w:tcPr>
            <w:vMerge w:val="continue"/>
          </w:tcPr>
          <w:p/>
        </w:tc>
      </w:tr>
      <w:tr>
        <w:tc>
          <w:tcPr>
            <w:tcW w:w="1474" w:type="dxa"/>
          </w:tcPr>
          <w:p>
            <w:pPr>
              <w:pStyle w:val="0"/>
            </w:pPr>
            <w:r>
              <w:rPr>
                <w:sz w:val="24"/>
              </w:rPr>
              <w:t xml:space="preserve">9.6.2.</w:t>
            </w:r>
          </w:p>
        </w:tc>
        <w:tc>
          <w:tcPr>
            <w:tcW w:w="4535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Основание отмены аннулирования лицензии</w:t>
            </w:r>
          </w:p>
        </w:tc>
        <w:tc>
          <w:tcPr>
            <w:vMerge w:val="continue"/>
          </w:tcPr>
          <w:p/>
        </w:tc>
      </w:tr>
      <w:tr>
        <w:tc>
          <w:tcPr>
            <w:tcW w:w="1474" w:type="dxa"/>
          </w:tcPr>
          <w:p>
            <w:pPr>
              <w:pStyle w:val="0"/>
            </w:pPr>
            <w:r>
              <w:rPr>
                <w:sz w:val="24"/>
              </w:rPr>
              <w:t xml:space="preserve">9.6.3.</w:t>
            </w:r>
          </w:p>
        </w:tc>
        <w:tc>
          <w:tcPr>
            <w:tcW w:w="4535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Документ, являющий основанием для отмены аннулирования лицензии</w:t>
            </w:r>
          </w:p>
        </w:tc>
        <w:tc>
          <w:tcPr>
            <w:vMerge w:val="continue"/>
          </w:tcPr>
          <w:p/>
        </w:tc>
      </w:tr>
      <w:tr>
        <w:tc>
          <w:tcPr>
            <w:tcW w:w="1474" w:type="dxa"/>
          </w:tcPr>
          <w:p>
            <w:pPr>
              <w:pStyle w:val="0"/>
            </w:pPr>
            <w:r>
              <w:rPr>
                <w:sz w:val="24"/>
              </w:rPr>
              <w:t xml:space="preserve">9.6.4.</w:t>
            </w:r>
          </w:p>
        </w:tc>
        <w:tc>
          <w:tcPr>
            <w:tcW w:w="4535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Наименование суда, принявшего решение об отмене решения об аннулировании лицензии</w:t>
            </w:r>
          </w:p>
        </w:tc>
        <w:tc>
          <w:tcPr>
            <w:vMerge w:val="continue"/>
          </w:tcPr>
          <w:p/>
        </w:tc>
      </w:tr>
      <w:tr>
        <w:tc>
          <w:tcPr>
            <w:tcW w:w="1474" w:type="dxa"/>
          </w:tcPr>
          <w:p>
            <w:pPr>
              <w:pStyle w:val="0"/>
            </w:pPr>
            <w:r>
              <w:rPr>
                <w:sz w:val="24"/>
              </w:rPr>
              <w:t xml:space="preserve">9.7.</w:t>
            </w:r>
          </w:p>
        </w:tc>
        <w:tc>
          <w:tcPr>
            <w:gridSpan w:val="2"/>
            <w:tcW w:w="7596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Информация о квалификационных аттестатах должностных лиц лицензиата:</w:t>
            </w:r>
          </w:p>
        </w:tc>
      </w:tr>
      <w:tr>
        <w:tc>
          <w:tcPr>
            <w:tcW w:w="1474" w:type="dxa"/>
          </w:tcPr>
          <w:p>
            <w:pPr>
              <w:pStyle w:val="0"/>
            </w:pPr>
            <w:r>
              <w:rPr>
                <w:sz w:val="24"/>
              </w:rPr>
              <w:t xml:space="preserve">9.7.1.</w:t>
            </w:r>
          </w:p>
        </w:tc>
        <w:tc>
          <w:tcPr>
            <w:tcW w:w="4535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Информация о выданном (переоформленном) квалификационном аттестате:</w:t>
            </w:r>
          </w:p>
        </w:tc>
        <w:tc>
          <w:tcPr>
            <w:tcW w:w="3061" w:type="dxa"/>
            <w:vMerge w:val="restart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Не позднее дня со дня выдачи (переоформления) квалификационного аттестата</w:t>
            </w:r>
          </w:p>
        </w:tc>
      </w:tr>
      <w:tr>
        <w:tc>
          <w:tcPr>
            <w:tcW w:w="1474" w:type="dxa"/>
          </w:tcPr>
          <w:p>
            <w:pPr>
              <w:pStyle w:val="0"/>
            </w:pPr>
            <w:r>
              <w:rPr>
                <w:sz w:val="24"/>
              </w:rPr>
              <w:t xml:space="preserve">9.7.1.1.</w:t>
            </w:r>
          </w:p>
        </w:tc>
        <w:tc>
          <w:tcPr>
            <w:tcW w:w="4535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Протокол результатов квалификационного экзамена</w:t>
            </w:r>
          </w:p>
        </w:tc>
        <w:tc>
          <w:tcPr>
            <w:vMerge w:val="continue"/>
          </w:tcPr>
          <w:p/>
        </w:tc>
      </w:tr>
      <w:tr>
        <w:tc>
          <w:tcPr>
            <w:tcW w:w="1474" w:type="dxa"/>
          </w:tcPr>
          <w:p>
            <w:pPr>
              <w:pStyle w:val="0"/>
            </w:pPr>
            <w:r>
              <w:rPr>
                <w:sz w:val="24"/>
              </w:rPr>
              <w:t xml:space="preserve">9.7.1.2.</w:t>
            </w:r>
          </w:p>
        </w:tc>
        <w:tc>
          <w:tcPr>
            <w:tcW w:w="4535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Фамилия, имя, отчество (при наличии) должностного лица, сдавшего квалификационный экзамен</w:t>
            </w:r>
          </w:p>
        </w:tc>
        <w:tc>
          <w:tcPr>
            <w:vMerge w:val="continue"/>
          </w:tcPr>
          <w:p/>
        </w:tc>
      </w:tr>
      <w:tr>
        <w:tc>
          <w:tcPr>
            <w:tcW w:w="1474" w:type="dxa"/>
          </w:tcPr>
          <w:p>
            <w:pPr>
              <w:pStyle w:val="0"/>
            </w:pPr>
            <w:r>
              <w:rPr>
                <w:sz w:val="24"/>
              </w:rPr>
              <w:t xml:space="preserve">9.7.1.3.</w:t>
            </w:r>
          </w:p>
        </w:tc>
        <w:tc>
          <w:tcPr>
            <w:tcW w:w="4535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Дата и место рождения должностного лица, сдавшего квалификационный экзамен</w:t>
            </w:r>
          </w:p>
        </w:tc>
        <w:tc>
          <w:tcPr>
            <w:vMerge w:val="continue"/>
          </w:tcPr>
          <w:p/>
        </w:tc>
      </w:tr>
      <w:tr>
        <w:tc>
          <w:tcPr>
            <w:tcW w:w="1474" w:type="dxa"/>
          </w:tcPr>
          <w:p>
            <w:pPr>
              <w:pStyle w:val="0"/>
            </w:pPr>
            <w:r>
              <w:rPr>
                <w:sz w:val="24"/>
              </w:rPr>
              <w:t xml:space="preserve">9.7.1.4.</w:t>
            </w:r>
          </w:p>
        </w:tc>
        <w:tc>
          <w:tcPr>
            <w:tcW w:w="4535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Квалификационный аттестат</w:t>
            </w:r>
          </w:p>
        </w:tc>
        <w:tc>
          <w:tcPr>
            <w:vMerge w:val="continue"/>
          </w:tcPr>
          <w:p/>
        </w:tc>
      </w:tr>
      <w:tr>
        <w:tc>
          <w:tcPr>
            <w:tcW w:w="1474" w:type="dxa"/>
          </w:tcPr>
          <w:p>
            <w:pPr>
              <w:pStyle w:val="0"/>
            </w:pPr>
            <w:r>
              <w:rPr>
                <w:sz w:val="24"/>
              </w:rPr>
              <w:t xml:space="preserve">9.7.1.5.</w:t>
            </w:r>
          </w:p>
        </w:tc>
        <w:tc>
          <w:tcPr>
            <w:tcW w:w="4535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Дата выдачи квалификационного аттестата</w:t>
            </w:r>
          </w:p>
        </w:tc>
        <w:tc>
          <w:tcPr>
            <w:vMerge w:val="continue"/>
          </w:tcPr>
          <w:p/>
        </w:tc>
      </w:tr>
      <w:tr>
        <w:tc>
          <w:tcPr>
            <w:tcW w:w="1474" w:type="dxa"/>
          </w:tcPr>
          <w:p>
            <w:pPr>
              <w:pStyle w:val="0"/>
            </w:pPr>
            <w:r>
              <w:rPr>
                <w:sz w:val="24"/>
              </w:rPr>
              <w:t xml:space="preserve">9.7.1.6.</w:t>
            </w:r>
          </w:p>
        </w:tc>
        <w:tc>
          <w:tcPr>
            <w:tcW w:w="4535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Дата выдачи переоформленного квалификационного аттестата</w:t>
            </w:r>
          </w:p>
        </w:tc>
        <w:tc>
          <w:tcPr>
            <w:vMerge w:val="continue"/>
          </w:tcPr>
          <w:p/>
        </w:tc>
      </w:tr>
      <w:tr>
        <w:tc>
          <w:tcPr>
            <w:tcW w:w="1474" w:type="dxa"/>
          </w:tcPr>
          <w:p>
            <w:pPr>
              <w:pStyle w:val="0"/>
            </w:pPr>
            <w:r>
              <w:rPr>
                <w:sz w:val="24"/>
              </w:rPr>
              <w:t xml:space="preserve">9.7.1.7.</w:t>
            </w:r>
          </w:p>
        </w:tc>
        <w:tc>
          <w:tcPr>
            <w:tcW w:w="4535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Срок действия квалификационного аттестата</w:t>
            </w:r>
          </w:p>
        </w:tc>
        <w:tc>
          <w:tcPr>
            <w:vMerge w:val="continue"/>
          </w:tcPr>
          <w:p/>
        </w:tc>
      </w:tr>
      <w:tr>
        <w:tc>
          <w:tcPr>
            <w:tcW w:w="1474" w:type="dxa"/>
          </w:tcPr>
          <w:p>
            <w:pPr>
              <w:pStyle w:val="0"/>
            </w:pPr>
            <w:r>
              <w:rPr>
                <w:sz w:val="24"/>
              </w:rPr>
              <w:t xml:space="preserve">9.7.2.</w:t>
            </w:r>
          </w:p>
        </w:tc>
        <w:tc>
          <w:tcPr>
            <w:tcW w:w="4535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Информация о дубликате квалификационного аттестата (при наличии):</w:t>
            </w:r>
          </w:p>
        </w:tc>
        <w:tc>
          <w:tcPr>
            <w:tcW w:w="3061" w:type="dxa"/>
            <w:vMerge w:val="restart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Не позднее 2 дней со дня выдачи дубликата квалификационного аттестата</w:t>
            </w:r>
          </w:p>
        </w:tc>
      </w:tr>
      <w:tr>
        <w:tc>
          <w:tcPr>
            <w:tcW w:w="1474" w:type="dxa"/>
          </w:tcPr>
          <w:p>
            <w:pPr>
              <w:pStyle w:val="0"/>
            </w:pPr>
            <w:r>
              <w:rPr>
                <w:sz w:val="24"/>
              </w:rPr>
              <w:t xml:space="preserve">9.7.2.1.</w:t>
            </w:r>
          </w:p>
        </w:tc>
        <w:tc>
          <w:tcPr>
            <w:tcW w:w="4535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Дубликат квалификационного аттестата</w:t>
            </w:r>
          </w:p>
        </w:tc>
        <w:tc>
          <w:tcPr>
            <w:vMerge w:val="continue"/>
          </w:tcPr>
          <w:p/>
        </w:tc>
      </w:tr>
      <w:tr>
        <w:tc>
          <w:tcPr>
            <w:tcW w:w="1474" w:type="dxa"/>
          </w:tcPr>
          <w:p>
            <w:pPr>
              <w:pStyle w:val="0"/>
            </w:pPr>
            <w:r>
              <w:rPr>
                <w:sz w:val="24"/>
              </w:rPr>
              <w:t xml:space="preserve">9.8.</w:t>
            </w:r>
          </w:p>
        </w:tc>
        <w:tc>
          <w:tcPr>
            <w:tcW w:w="4535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Информация об аннулировании квалификационного аттестата:</w:t>
            </w:r>
          </w:p>
        </w:tc>
        <w:tc>
          <w:tcPr>
            <w:tcW w:w="3061" w:type="dxa"/>
            <w:vMerge w:val="restart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В течение 2 рабочих дней с даты принятия решения об аннулировании квалификационного аттестата</w:t>
            </w:r>
          </w:p>
        </w:tc>
      </w:tr>
      <w:tr>
        <w:tc>
          <w:tcPr>
            <w:tcW w:w="1474" w:type="dxa"/>
          </w:tcPr>
          <w:p>
            <w:pPr>
              <w:pStyle w:val="0"/>
            </w:pPr>
            <w:r>
              <w:rPr>
                <w:sz w:val="24"/>
              </w:rPr>
              <w:t xml:space="preserve">9.8.1.</w:t>
            </w:r>
          </w:p>
        </w:tc>
        <w:tc>
          <w:tcPr>
            <w:tcW w:w="4535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Протокол уполномоченного исполнительного органа субъекта Российской Федерации, осуществляющего государственный жилищный надзор, об аннулировании квалификационного аттестата</w:t>
            </w:r>
          </w:p>
        </w:tc>
        <w:tc>
          <w:tcPr>
            <w:vMerge w:val="continue"/>
          </w:tcPr>
          <w:p/>
        </w:tc>
      </w:tr>
      <w:tr>
        <w:tc>
          <w:tcPr>
            <w:tcW w:w="1474" w:type="dxa"/>
          </w:tcPr>
          <w:p>
            <w:pPr>
              <w:pStyle w:val="0"/>
            </w:pPr>
            <w:r>
              <w:rPr>
                <w:sz w:val="24"/>
              </w:rPr>
              <w:t xml:space="preserve">9.9.</w:t>
            </w:r>
          </w:p>
        </w:tc>
        <w:tc>
          <w:tcPr>
            <w:tcW w:w="4535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Основание отмены аннулирования квалификационного аттестата:</w:t>
            </w:r>
          </w:p>
        </w:tc>
        <w:tc>
          <w:tcPr>
            <w:tcW w:w="3061" w:type="dxa"/>
            <w:vMerge w:val="restart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Не позднее 5 дней со дня получения информации о вступлении в законную силу решения суда об отмене решения об аннулировании квалификационного аттестата</w:t>
            </w:r>
          </w:p>
        </w:tc>
      </w:tr>
      <w:tr>
        <w:tc>
          <w:tcPr>
            <w:tcW w:w="1474" w:type="dxa"/>
          </w:tcPr>
          <w:p>
            <w:pPr>
              <w:pStyle w:val="0"/>
            </w:pPr>
            <w:r>
              <w:rPr>
                <w:sz w:val="24"/>
              </w:rPr>
              <w:t xml:space="preserve">9.9.1.</w:t>
            </w:r>
          </w:p>
        </w:tc>
        <w:tc>
          <w:tcPr>
            <w:tcW w:w="4535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Документ, являющийся основанием для отмены аннулирования квалификационного аттестата</w:t>
            </w:r>
          </w:p>
        </w:tc>
        <w:tc>
          <w:tcPr>
            <w:vMerge w:val="continue"/>
          </w:tcPr>
          <w:p/>
        </w:tc>
      </w:tr>
      <w:tr>
        <w:tc>
          <w:tcPr>
            <w:tcW w:w="1474" w:type="dxa"/>
          </w:tcPr>
          <w:p>
            <w:pPr>
              <w:pStyle w:val="0"/>
            </w:pPr>
            <w:r>
              <w:rPr>
                <w:sz w:val="24"/>
              </w:rPr>
              <w:t xml:space="preserve">9.9.2.</w:t>
            </w:r>
          </w:p>
        </w:tc>
        <w:tc>
          <w:tcPr>
            <w:tcW w:w="4535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Наименование суда, вынесшего решение об отмене аннулирования квалификационного аттестата</w:t>
            </w:r>
          </w:p>
        </w:tc>
        <w:tc>
          <w:tcPr>
            <w:vMerge w:val="continue"/>
          </w:tcPr>
          <w:p/>
        </w:tc>
      </w:tr>
    </w:tbl>
    <w:p>
      <w:pPr>
        <w:pStyle w:val="0"/>
        <w:spacing w:before="240" w:line-rule="auto"/>
        <w:jc w:val="right"/>
      </w:pPr>
      <w:r>
        <w:rPr>
          <w:sz w:val="24"/>
        </w:rPr>
        <w:t xml:space="preserve">".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2. В </w:t>
      </w:r>
      <w:hyperlink w:history="0" r:id="rId15" w:tooltip="Приказ Минстроя России от 07.02.2024 N 79/пр &quot;Об установлении состава, сроков и периодичности размещения информации поставщиками информации в государственной информационной системе жилищно-коммунального хозяйства, обязательное размещение которой предусмотрено Федеральным законом от 21 июля 2014 г. N 209-ФЗ &quot;О государственной информационной системе жилищно-коммунального хозяйства&quot; (Зарегистрировано в Минюсте России 29.02.2024 N 77383) {КонсультантПлюс}">
        <w:r>
          <w:rPr>
            <w:sz w:val="24"/>
            <w:color w:val="0000ff"/>
          </w:rPr>
          <w:t xml:space="preserve">графе</w:t>
        </w:r>
      </w:hyperlink>
      <w:r>
        <w:rPr>
          <w:sz w:val="24"/>
        </w:rPr>
        <w:t xml:space="preserve"> "Сроки и периодичность размещения информации" подпунктов 9.1.1 - 9.1.6 пункта 9 главы VII слова ", подлежащего использованию в качестве общежития, или принятия акта об использовании многоквартирного дома (жилого дома) в качестве общежития либо со дня внесения изменений в акт об использовании многоквартирного дома (жилого дома) в качестве общежития" заменить словами "либо со дня произошедших изменений информации, указанной в подпункте 9.1 пункта 9 главы VII".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В </w:t>
      </w:r>
      <w:hyperlink w:history="0" r:id="rId16" w:tooltip="Приказ Минстроя России от 07.02.2024 N 79/пр &quot;Об установлении состава, сроков и периодичности размещения информации поставщиками информации в государственной информационной системе жилищно-коммунального хозяйства, обязательное размещение которой предусмотрено Федеральным законом от 21 июля 2014 г. N 209-ФЗ &quot;О государственной информационной системе жилищно-коммунального хозяйства&quot; (Зарегистрировано в Минюсте России 29.02.2024 N 77383) {КонсультантПлюс}">
        <w:r>
          <w:rPr>
            <w:sz w:val="24"/>
            <w:color w:val="0000ff"/>
          </w:rPr>
          <w:t xml:space="preserve">главе IX</w:t>
        </w:r>
      </w:hyperlink>
      <w:r>
        <w:rPr>
          <w:sz w:val="24"/>
        </w:rPr>
        <w:t xml:space="preserve">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</w:t>
      </w:r>
      <w:hyperlink w:history="0" r:id="rId17" w:tooltip="Приказ Минстроя России от 07.02.2024 N 79/пр &quot;Об установлении состава, сроков и периодичности размещения информации поставщиками информации в государственной информационной системе жилищно-коммунального хозяйства, обязательное размещение которой предусмотрено Федеральным законом от 21 июля 2014 г. N 209-ФЗ &quot;О государственной информационной системе жилищно-коммунального хозяйства&quot; (Зарегистрировано в Минюсте России 29.02.2024 N 77383) {КонсультантПлюс}">
        <w:r>
          <w:rPr>
            <w:sz w:val="24"/>
            <w:color w:val="0000ff"/>
          </w:rPr>
          <w:t xml:space="preserve">графу</w:t>
        </w:r>
      </w:hyperlink>
      <w:r>
        <w:rPr>
          <w:sz w:val="24"/>
        </w:rPr>
        <w:t xml:space="preserve"> "Состав размещаемой информации" подпункта 2.1.10.3.3 пункта 2 изложить в следующей редакции: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"Информация о температурном графике (зависимость температуры теплоносителя в подающем и обратном трубопроводах от температуры наружного воздуха). Размещается в отношении договоров, заключенных между ресурсоснабжающими организациями и лицами, осуществляющими предоставление коммунальных услуг в многоквартирные дома, жилые дома, договоров на поставку коммунальных ресурсов в целях содержания общего имущества в многоквартирном доме, заключенных между ресурсоснабжающими организациями и лицами, осуществляющими управление многоквартирным домом:";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</w:t>
      </w:r>
      <w:hyperlink w:history="0" r:id="rId18" w:tooltip="Приказ Минстроя России от 07.02.2024 N 79/пр &quot;Об установлении состава, сроков и периодичности размещения информации поставщиками информации в государственной информационной системе жилищно-коммунального хозяйства, обязательное размещение которой предусмотрено Федеральным законом от 21 июля 2014 г. N 209-ФЗ &quot;О государственной информационной системе жилищно-коммунального хозяйства&quot; (Зарегистрировано в Минюсте России 29.02.2024 N 77383) {КонсультантПлюс}">
        <w:r>
          <w:rPr>
            <w:sz w:val="24"/>
            <w:color w:val="0000ff"/>
          </w:rPr>
          <w:t xml:space="preserve">графу</w:t>
        </w:r>
      </w:hyperlink>
      <w:r>
        <w:rPr>
          <w:sz w:val="24"/>
        </w:rPr>
        <w:t xml:space="preserve"> "Состав размещаемой информации" подпункта 2.1.10.3.3.2 пункта 2 после слова "температура" дополнить словами "(либо диапазон температур)";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</w:t>
      </w:r>
      <w:hyperlink w:history="0" r:id="rId19" w:tooltip="Приказ Минстроя России от 07.02.2024 N 79/пр &quot;Об установлении состава, сроков и периодичности размещения информации поставщиками информации в государственной информационной системе жилищно-коммунального хозяйства, обязательное размещение которой предусмотрено Федеральным законом от 21 июля 2014 г. N 209-ФЗ &quot;О государственной информационной системе жилищно-коммунального хозяйства&quot; (Зарегистрировано в Минюсте России 29.02.2024 N 77383) {КонсультантПлюс}">
        <w:r>
          <w:rPr>
            <w:sz w:val="24"/>
            <w:color w:val="0000ff"/>
          </w:rPr>
          <w:t xml:space="preserve">графу</w:t>
        </w:r>
      </w:hyperlink>
      <w:r>
        <w:rPr>
          <w:sz w:val="24"/>
        </w:rPr>
        <w:t xml:space="preserve"> "Состав размещаемой информации" подпункта 2.1.10.3.3.3 пункта 2 после слова "температура" дополнить словами "(либо диапазон температур)";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г) в </w:t>
      </w:r>
      <w:hyperlink w:history="0" r:id="rId20" w:tooltip="Приказ Минстроя России от 07.02.2024 N 79/пр &quot;Об установлении состава, сроков и периодичности размещения информации поставщиками информации в государственной информационной системе жилищно-коммунального хозяйства, обязательное размещение которой предусмотрено Федеральным законом от 21 июля 2014 г. N 209-ФЗ &quot;О государственной информационной системе жилищно-коммунального хозяйства&quot; (Зарегистрировано в Минюсте России 29.02.2024 N 77383) {КонсультантПлюс}">
        <w:r>
          <w:rPr>
            <w:sz w:val="24"/>
            <w:color w:val="0000ff"/>
          </w:rPr>
          <w:t xml:space="preserve">графе</w:t>
        </w:r>
      </w:hyperlink>
      <w:r>
        <w:rPr>
          <w:sz w:val="24"/>
        </w:rPr>
        <w:t xml:space="preserve"> "Состав размещаемой информации" подпункта 2.1.15 пункта 2 цифры "2.1.14.3" заменить цифрами "2.1.15.3";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д) </w:t>
      </w:r>
      <w:hyperlink w:history="0" r:id="rId21" w:tooltip="Приказ Минстроя России от 07.02.2024 N 79/пр &quot;Об установлении состава, сроков и периодичности размещения информации поставщиками информации в государственной информационной системе жилищно-коммунального хозяйства, обязательное размещение которой предусмотрено Федеральным законом от 21 июля 2014 г. N 209-ФЗ &quot;О государственной информационной системе жилищно-коммунального хозяйства&quot; (Зарегистрировано в Минюсте России 29.02.2024 N 77383) {КонсультантПлюс}">
        <w:r>
          <w:rPr>
            <w:sz w:val="24"/>
            <w:color w:val="0000ff"/>
          </w:rPr>
          <w:t xml:space="preserve">графу</w:t>
        </w:r>
      </w:hyperlink>
      <w:r>
        <w:rPr>
          <w:sz w:val="24"/>
        </w:rPr>
        <w:t xml:space="preserve"> "Состав размещаемой информации" подпункта 3.2.2 пункта 3 слова "или объем потребленного коммунального ресурса при наличии технической возможности коллективного (общедомового) прибора учета автоматически рассчитывать потребляемый объем ресурса" заменить словами "или объем потребленного коммунального ресурса".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 В </w:t>
      </w:r>
      <w:hyperlink w:history="0" r:id="rId22" w:tooltip="Приказ Минстроя России от 07.02.2024 N 79/пр &quot;Об установлении состава, сроков и периодичности размещения информации поставщиками информации в государственной информационной системе жилищно-коммунального хозяйства, обязательное размещение которой предусмотрено Федеральным законом от 21 июля 2014 г. N 209-ФЗ &quot;О государственной информационной системе жилищно-коммунального хозяйства&quot; (Зарегистрировано в Минюсте России 29.02.2024 N 77383) {КонсультантПлюс}">
        <w:r>
          <w:rPr>
            <w:sz w:val="24"/>
            <w:color w:val="0000ff"/>
          </w:rPr>
          <w:t xml:space="preserve">главе X</w:t>
        </w:r>
      </w:hyperlink>
      <w:r>
        <w:rPr>
          <w:sz w:val="24"/>
        </w:rPr>
        <w:t xml:space="preserve">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</w:t>
      </w:r>
      <w:hyperlink w:history="0" r:id="rId23" w:tooltip="Приказ Минстроя России от 07.02.2024 N 79/пр &quot;Об установлении состава, сроков и периодичности размещения информации поставщиками информации в государственной информационной системе жилищно-коммунального хозяйства, обязательное размещение которой предусмотрено Федеральным законом от 21 июля 2014 г. N 209-ФЗ &quot;О государственной информационной системе жилищно-коммунального хозяйства&quot; (Зарегистрировано в Минюсте России 29.02.2024 N 77383) {КонсультантПлюс}">
        <w:r>
          <w:rPr>
            <w:sz w:val="24"/>
            <w:color w:val="0000ff"/>
          </w:rPr>
          <w:t xml:space="preserve">графу</w:t>
        </w:r>
      </w:hyperlink>
      <w:r>
        <w:rPr>
          <w:sz w:val="24"/>
        </w:rPr>
        <w:t xml:space="preserve"> "Состав размещаемой информации" подпункта 1.1 пункта 1 дополнить словами ", ОГРН";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</w:t>
      </w:r>
      <w:hyperlink w:history="0" r:id="rId24" w:tooltip="Приказ Минстроя России от 07.02.2024 N 79/пр &quot;Об установлении состава, сроков и периодичности размещения информации поставщиками информации в государственной информационной системе жилищно-коммунального хозяйства, обязательное размещение которой предусмотрено Федеральным законом от 21 июля 2014 г. N 209-ФЗ &quot;О государственной информационной системе жилищно-коммунального хозяйства&quot; (Зарегистрировано в Минюсте России 29.02.2024 N 77383) {КонсультантПлюс}">
        <w:r>
          <w:rPr>
            <w:sz w:val="24"/>
            <w:color w:val="0000ff"/>
          </w:rPr>
          <w:t xml:space="preserve">подпункты 2.2.1</w:t>
        </w:r>
      </w:hyperlink>
      <w:r>
        <w:rPr>
          <w:sz w:val="24"/>
        </w:rPr>
        <w:t xml:space="preserve"> - </w:t>
      </w:r>
      <w:hyperlink w:history="0" r:id="rId25" w:tooltip="Приказ Минстроя России от 07.02.2024 N 79/пр &quot;Об установлении состава, сроков и периодичности размещения информации поставщиками информации в государственной информационной системе жилищно-коммунального хозяйства, обязательное размещение которой предусмотрено Федеральным законом от 21 июля 2014 г. N 209-ФЗ &quot;О государственной информационной системе жилищно-коммунального хозяйства&quot; (Зарегистрировано в Минюсте России 29.02.2024 N 77383) {КонсультантПлюс}">
        <w:r>
          <w:rPr>
            <w:sz w:val="24"/>
            <w:color w:val="0000ff"/>
          </w:rPr>
          <w:t xml:space="preserve">2.2.1.5 пункта 2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  <w:t xml:space="preserve">"</w:t>
      </w:r>
    </w:p>
    <w:p>
      <w:pPr>
        <w:spacing w:before="0"/>
        <w:spacing w:after="1"/>
      </w:pP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1474"/>
        <w:gridCol w:w="4535"/>
        <w:gridCol w:w="3061"/>
      </w:tblGrid>
      <w:tr>
        <w:tc>
          <w:tcPr>
            <w:tcW w:w="1474" w:type="dxa"/>
          </w:tcPr>
          <w:p>
            <w:pPr>
              <w:pStyle w:val="0"/>
            </w:pPr>
            <w:r>
              <w:rPr>
                <w:sz w:val="24"/>
              </w:rPr>
              <w:t xml:space="preserve">2.2.1.</w:t>
            </w:r>
          </w:p>
        </w:tc>
        <w:tc>
          <w:tcPr>
            <w:tcW w:w="4535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Адрес многоквартирного дома, в отношении которого заключен договор строительного подряда, предусмотренный </w:t>
            </w:r>
            <w:hyperlink w:history="0" r:id="rId26" w:tooltip="&quot;Жилищный кодекс Российской Федерации&quot; от 29.12.2004 N 188-ФЗ (ред. от 03.02.2025) {КонсультантПлюс}">
              <w:r>
                <w:rPr>
                  <w:sz w:val="24"/>
                  <w:color w:val="0000ff"/>
                </w:rPr>
                <w:t xml:space="preserve">частью 7 статьи 166</w:t>
              </w:r>
            </w:hyperlink>
            <w:r>
              <w:rPr>
                <w:sz w:val="24"/>
              </w:rPr>
              <w:t xml:space="preserve"> Жилищного кодекса Российской Федерации (путем выбора его из информации, содержащейся в системе)</w:t>
            </w:r>
          </w:p>
        </w:tc>
        <w:tc>
          <w:tcPr>
            <w:tcW w:w="3061" w:type="dxa"/>
            <w:vMerge w:val="restart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Не позднее 7 рабочих дней со дня заключения договора строительного подряда, предусмотренного </w:t>
            </w:r>
            <w:hyperlink w:history="0" r:id="rId27" w:tooltip="&quot;Жилищный кодекс Российской Федерации&quot; от 29.12.2004 N 188-ФЗ (ред. от 03.02.2025) {КонсультантПлюс}">
              <w:r>
                <w:rPr>
                  <w:sz w:val="24"/>
                  <w:color w:val="0000ff"/>
                </w:rPr>
                <w:t xml:space="preserve">частью 7 статьи 166</w:t>
              </w:r>
            </w:hyperlink>
            <w:r>
              <w:rPr>
                <w:sz w:val="24"/>
              </w:rPr>
              <w:t xml:space="preserve"> Жилищного кодекса Российской Федерации, либо дополнительного соглашения о внесении в него изменений</w:t>
            </w:r>
          </w:p>
        </w:tc>
      </w:tr>
      <w:tr>
        <w:tc>
          <w:tcPr>
            <w:tcW w:w="1474" w:type="dxa"/>
          </w:tcPr>
          <w:p>
            <w:pPr>
              <w:pStyle w:val="0"/>
            </w:pPr>
            <w:r>
              <w:rPr>
                <w:sz w:val="24"/>
              </w:rPr>
              <w:t xml:space="preserve">2.2.1.1.</w:t>
            </w:r>
          </w:p>
        </w:tc>
        <w:tc>
          <w:tcPr>
            <w:tcW w:w="4535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Адрес на официальном сайте единой информационной системы в сфере закупок в сети "Интернет", на котором размещен договор строительного подряда, предусмотренный </w:t>
            </w:r>
            <w:hyperlink w:history="0" r:id="rId28" w:tooltip="&quot;Жилищный кодекс Российской Федерации&quot; от 29.12.2004 N 188-ФЗ (ред. от 03.02.2025) {КонсультантПлюс}">
              <w:r>
                <w:rPr>
                  <w:sz w:val="24"/>
                  <w:color w:val="0000ff"/>
                </w:rPr>
                <w:t xml:space="preserve">частью 7 статьи 166</w:t>
              </w:r>
            </w:hyperlink>
            <w:r>
              <w:rPr>
                <w:sz w:val="24"/>
              </w:rPr>
              <w:t xml:space="preserve"> Жилищного кодекса Российской Федерации</w:t>
            </w:r>
          </w:p>
        </w:tc>
        <w:tc>
          <w:tcPr>
            <w:vMerge w:val="continue"/>
          </w:tcPr>
          <w:p/>
        </w:tc>
      </w:tr>
      <w:tr>
        <w:tc>
          <w:tcPr>
            <w:tcW w:w="1474" w:type="dxa"/>
          </w:tcPr>
          <w:p>
            <w:pPr>
              <w:pStyle w:val="0"/>
            </w:pPr>
            <w:r>
              <w:rPr>
                <w:sz w:val="24"/>
              </w:rPr>
              <w:t xml:space="preserve">2.2.1.2.</w:t>
            </w:r>
          </w:p>
        </w:tc>
        <w:tc>
          <w:tcPr>
            <w:tcW w:w="4535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Год начала работ в соответствии с договором строительного подряда, предусмотренным </w:t>
            </w:r>
            <w:hyperlink w:history="0" r:id="rId29" w:tooltip="&quot;Жилищный кодекс Российской Федерации&quot; от 29.12.2004 N 188-ФЗ (ред. от 03.02.2025) {КонсультантПлюс}">
              <w:r>
                <w:rPr>
                  <w:sz w:val="24"/>
                  <w:color w:val="0000ff"/>
                </w:rPr>
                <w:t xml:space="preserve">частью 7 статьи 166</w:t>
              </w:r>
            </w:hyperlink>
            <w:r>
              <w:rPr>
                <w:sz w:val="24"/>
              </w:rPr>
              <w:t xml:space="preserve"> Жилищного кодекса Российской Федерации</w:t>
            </w:r>
          </w:p>
        </w:tc>
        <w:tc>
          <w:tcPr>
            <w:vMerge w:val="continue"/>
          </w:tcPr>
          <w:p/>
        </w:tc>
      </w:tr>
      <w:tr>
        <w:tc>
          <w:tcPr>
            <w:tcW w:w="1474" w:type="dxa"/>
          </w:tcPr>
          <w:p>
            <w:pPr>
              <w:pStyle w:val="0"/>
            </w:pPr>
            <w:r>
              <w:rPr>
                <w:sz w:val="24"/>
              </w:rPr>
              <w:t xml:space="preserve">2.2.1.3.</w:t>
            </w:r>
          </w:p>
        </w:tc>
        <w:tc>
          <w:tcPr>
            <w:tcW w:w="4535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Виды услуг и (или) работ по капитальному ремонту</w:t>
            </w:r>
          </w:p>
        </w:tc>
        <w:tc>
          <w:tcPr>
            <w:vMerge w:val="continue"/>
          </w:tcPr>
          <w:p/>
        </w:tc>
      </w:tr>
      <w:tr>
        <w:tc>
          <w:tcPr>
            <w:tcW w:w="1474" w:type="dxa"/>
          </w:tcPr>
          <w:p>
            <w:pPr>
              <w:pStyle w:val="0"/>
            </w:pPr>
            <w:r>
              <w:rPr>
                <w:sz w:val="24"/>
              </w:rPr>
              <w:t xml:space="preserve">2.2.1.4.</w:t>
            </w:r>
          </w:p>
        </w:tc>
        <w:tc>
          <w:tcPr>
            <w:tcW w:w="4535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Дата подписания акта приемки оказанных услуг и (или) выполненных работ по капитальному ремонту общего имущества в многоквартирном доме</w:t>
            </w:r>
          </w:p>
        </w:tc>
        <w:tc>
          <w:tcPr>
            <w:tcW w:w="3061" w:type="dxa"/>
            <w:vMerge w:val="restart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Не позднее 7 рабочих дней со дня подписания акта приемки оказанных услуг и (или) выполненных работ</w:t>
            </w:r>
          </w:p>
        </w:tc>
      </w:tr>
      <w:tr>
        <w:tc>
          <w:tcPr>
            <w:tcW w:w="1474" w:type="dxa"/>
          </w:tcPr>
          <w:p>
            <w:pPr>
              <w:pStyle w:val="0"/>
            </w:pPr>
            <w:r>
              <w:rPr>
                <w:sz w:val="24"/>
              </w:rPr>
              <w:t xml:space="preserve">2.2.1.5.</w:t>
            </w:r>
          </w:p>
        </w:tc>
        <w:tc>
          <w:tcPr>
            <w:tcW w:w="4535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Стоимость оказанных услуг и (или) выполненных работ согласно акту (актам) приемки оказанных услуг и (или) выполненных работ (при наличии) по капитальному ремонту общего имущества в многоквартирном доме</w:t>
            </w:r>
          </w:p>
        </w:tc>
        <w:tc>
          <w:tcPr>
            <w:vMerge w:val="continue"/>
          </w:tcPr>
          <w:p/>
        </w:tc>
      </w:tr>
    </w:tbl>
    <w:p>
      <w:pPr>
        <w:pStyle w:val="0"/>
        <w:spacing w:before="240" w:line-rule="auto"/>
        <w:jc w:val="right"/>
      </w:pPr>
      <w:r>
        <w:rPr>
          <w:sz w:val="24"/>
        </w:rPr>
        <w:t xml:space="preserve">";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в) </w:t>
      </w:r>
      <w:hyperlink w:history="0" r:id="rId30" w:tooltip="Приказ Минстроя России от 07.02.2024 N 79/пр &quot;Об установлении состава, сроков и периодичности размещения информации поставщиками информации в государственной информационной системе жилищно-коммунального хозяйства, обязательное размещение которой предусмотрено Федеральным законом от 21 июля 2014 г. N 209-ФЗ &quot;О государственной информационной системе жилищно-коммунального хозяйства&quot; (Зарегистрировано в Минюсте России 29.02.2024 N 77383) {КонсультантПлюс}">
        <w:r>
          <w:rPr>
            <w:sz w:val="24"/>
            <w:color w:val="0000ff"/>
          </w:rPr>
          <w:t xml:space="preserve">цифры</w:t>
        </w:r>
      </w:hyperlink>
      <w:r>
        <w:rPr>
          <w:sz w:val="24"/>
        </w:rPr>
        <w:t xml:space="preserve"> "3.13..3" заменить цифрами "3.1.2.3";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г) </w:t>
      </w:r>
      <w:hyperlink w:history="0" r:id="rId31" w:tooltip="Приказ Минстроя России от 07.02.2024 N 79/пр &quot;Об установлении состава, сроков и периодичности размещения информации поставщиками информации в государственной информационной системе жилищно-коммунального хозяйства, обязательное размещение которой предусмотрено Федеральным законом от 21 июля 2014 г. N 209-ФЗ &quot;О государственной информационной системе жилищно-коммунального хозяйства&quot; (Зарегистрировано в Минюсте России 29.02.2024 N 77383) {КонсультантПлюс}">
        <w:r>
          <w:rPr>
            <w:sz w:val="24"/>
            <w:color w:val="0000ff"/>
          </w:rPr>
          <w:t xml:space="preserve">подпункт 3.1.2.7 пункта 3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  <w:t xml:space="preserve">"</w:t>
      </w:r>
    </w:p>
    <w:p>
      <w:pPr>
        <w:spacing w:before="0"/>
        <w:spacing w:after="1"/>
      </w:pP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1474"/>
        <w:gridCol w:w="7597"/>
      </w:tblGrid>
      <w:tr>
        <w:tc>
          <w:tcPr>
            <w:tcW w:w="1474" w:type="dxa"/>
            <w:tcBorders>
              <w:top w:val="single" w:sz="4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3.1.2.7.</w:t>
            </w:r>
          </w:p>
        </w:tc>
        <w:tc>
          <w:tcPr>
            <w:tcW w:w="7597" w:type="dxa"/>
            <w:tcBorders>
              <w:top w:val="single" w:sz="4"/>
              <w:bottom w:val="single" w:sz="4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Сведения о совершенных операциях по списанию денежных средств со специального счета (информация размещается в случае, если такая обязанность возложена на регионального оператора капитального ремонта законом субъекта Российской Федерации или общим собранием собственников помещений в многоквартирном доме):</w:t>
            </w:r>
          </w:p>
        </w:tc>
      </w:tr>
    </w:tbl>
    <w:p>
      <w:pPr>
        <w:pStyle w:val="0"/>
        <w:spacing w:before="240" w:line-rule="auto"/>
        <w:jc w:val="right"/>
      </w:pPr>
      <w:r>
        <w:rPr>
          <w:sz w:val="24"/>
        </w:rPr>
        <w:t xml:space="preserve">";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д) </w:t>
      </w:r>
      <w:hyperlink w:history="0" r:id="rId32" w:tooltip="Приказ Минстроя России от 07.02.2024 N 79/пр &quot;Об установлении состава, сроков и периодичности размещения информации поставщиками информации в государственной информационной системе жилищно-коммунального хозяйства, обязательное размещение которой предусмотрено Федеральным законом от 21 июля 2014 г. N 209-ФЗ &quot;О государственной информационной системе жилищно-коммунального хозяйства&quot; (Зарегистрировано в Минюсте России 29.02.2024 N 77383) {КонсультантПлюс}">
        <w:r>
          <w:rPr>
            <w:sz w:val="24"/>
            <w:color w:val="0000ff"/>
          </w:rPr>
          <w:t xml:space="preserve">подпункты 3.1.4</w:t>
        </w:r>
      </w:hyperlink>
      <w:r>
        <w:rPr>
          <w:sz w:val="24"/>
        </w:rPr>
        <w:t xml:space="preserve"> - </w:t>
      </w:r>
      <w:hyperlink w:history="0" r:id="rId33" w:tooltip="Приказ Минстроя России от 07.02.2024 N 79/пр &quot;Об установлении состава, сроков и периодичности размещения информации поставщиками информации в государственной информационной системе жилищно-коммунального хозяйства, обязательное размещение которой предусмотрено Федеральным законом от 21 июля 2014 г. N 209-ФЗ &quot;О государственной информационной системе жилищно-коммунального хозяйства&quot; (Зарегистрировано в Минюсте России 29.02.2024 N 77383) {КонсультантПлюс}">
        <w:r>
          <w:rPr>
            <w:sz w:val="24"/>
            <w:color w:val="0000ff"/>
          </w:rPr>
          <w:t xml:space="preserve">3.1.4.10.1 пункта 3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  <w:t xml:space="preserve">"</w:t>
      </w:r>
    </w:p>
    <w:p>
      <w:pPr>
        <w:spacing w:before="0"/>
        <w:spacing w:after="1"/>
      </w:pP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1474"/>
        <w:gridCol w:w="4535"/>
        <w:gridCol w:w="3062"/>
      </w:tblGrid>
      <w:tr>
        <w:tc>
          <w:tcPr>
            <w:tcW w:w="1474" w:type="dxa"/>
          </w:tcPr>
          <w:p>
            <w:pPr>
              <w:pStyle w:val="0"/>
            </w:pPr>
            <w:r>
              <w:rPr>
                <w:sz w:val="24"/>
              </w:rPr>
              <w:t xml:space="preserve">3.1.4.</w:t>
            </w:r>
          </w:p>
        </w:tc>
        <w:tc>
          <w:tcPr>
            <w:gridSpan w:val="2"/>
            <w:tcW w:w="7597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Сведения об оказании услуг и (или) выполнении работ по капитальному ремонту общего имущества в многоквартирных домах:</w:t>
            </w:r>
          </w:p>
        </w:tc>
      </w:tr>
      <w:tr>
        <w:tc>
          <w:tcPr>
            <w:tcW w:w="1474" w:type="dxa"/>
          </w:tcPr>
          <w:p>
            <w:pPr>
              <w:pStyle w:val="0"/>
            </w:pPr>
            <w:r>
              <w:rPr>
                <w:sz w:val="24"/>
              </w:rPr>
              <w:t xml:space="preserve">3.1.4.1.</w:t>
            </w:r>
          </w:p>
        </w:tc>
        <w:tc>
          <w:tcPr>
            <w:tcW w:w="4535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Копия договора строительного подряда, предусмотренного </w:t>
            </w:r>
            <w:hyperlink w:history="0" r:id="rId34" w:tooltip="&quot;Жилищный кодекс Российской Федерации&quot; от 29.12.2004 N 188-ФЗ (ред. от 03.02.2025) {КонсультантПлюс}">
              <w:r>
                <w:rPr>
                  <w:sz w:val="24"/>
                  <w:color w:val="0000ff"/>
                </w:rPr>
                <w:t xml:space="preserve">частью 7 статьи 166</w:t>
              </w:r>
            </w:hyperlink>
            <w:r>
              <w:rPr>
                <w:sz w:val="24"/>
              </w:rPr>
              <w:t xml:space="preserve"> Жилищного кодекса Российской Федерации</w:t>
            </w:r>
          </w:p>
        </w:tc>
        <w:tc>
          <w:tcPr>
            <w:tcW w:w="3062" w:type="dxa"/>
            <w:vMerge w:val="restart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Не позднее 7 рабочих дней со дня заключения договора строительного подряда, предусмотренного </w:t>
            </w:r>
            <w:hyperlink w:history="0" r:id="rId35" w:tooltip="&quot;Жилищный кодекс Российской Федерации&quot; от 29.12.2004 N 188-ФЗ (ред. от 03.02.2025) {КонсультантПлюс}">
              <w:r>
                <w:rPr>
                  <w:sz w:val="24"/>
                  <w:color w:val="0000ff"/>
                </w:rPr>
                <w:t xml:space="preserve">частью 7 статьи 166</w:t>
              </w:r>
            </w:hyperlink>
            <w:r>
              <w:rPr>
                <w:sz w:val="24"/>
              </w:rPr>
              <w:t xml:space="preserve"> Жилищного кодекса Российской Федерации, или дополнительного соглашения о внесении изменений в такой договор</w:t>
            </w:r>
          </w:p>
        </w:tc>
      </w:tr>
      <w:tr>
        <w:tc>
          <w:tcPr>
            <w:tcW w:w="1474" w:type="dxa"/>
          </w:tcPr>
          <w:p>
            <w:pPr>
              <w:pStyle w:val="0"/>
            </w:pPr>
            <w:r>
              <w:rPr>
                <w:sz w:val="24"/>
              </w:rPr>
              <w:t xml:space="preserve">3.1.4.2.</w:t>
            </w:r>
          </w:p>
        </w:tc>
        <w:tc>
          <w:tcPr>
            <w:tcW w:w="4535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Год начала выполнения работ и (или) оказания услуг в соответствии с договором строительного подряда, предусмотренным </w:t>
            </w:r>
            <w:hyperlink w:history="0" r:id="rId36" w:tooltip="&quot;Жилищный кодекс Российской Федерации&quot; от 29.12.2004 N 188-ФЗ (ред. от 03.02.2025) {КонсультантПлюс}">
              <w:r>
                <w:rPr>
                  <w:sz w:val="24"/>
                  <w:color w:val="0000ff"/>
                </w:rPr>
                <w:t xml:space="preserve">частью 7 статьи 166</w:t>
              </w:r>
            </w:hyperlink>
            <w:r>
              <w:rPr>
                <w:sz w:val="24"/>
              </w:rPr>
              <w:t xml:space="preserve"> Жилищного кодекса Российской Федерации</w:t>
            </w:r>
          </w:p>
        </w:tc>
        <w:tc>
          <w:tcPr>
            <w:vMerge w:val="continue"/>
          </w:tcPr>
          <w:p/>
        </w:tc>
      </w:tr>
      <w:tr>
        <w:tc>
          <w:tcPr>
            <w:tcW w:w="1474" w:type="dxa"/>
          </w:tcPr>
          <w:p>
            <w:pPr>
              <w:pStyle w:val="0"/>
            </w:pPr>
            <w:r>
              <w:rPr>
                <w:sz w:val="24"/>
              </w:rPr>
              <w:t xml:space="preserve">3.1.4.3.</w:t>
            </w:r>
          </w:p>
        </w:tc>
        <w:tc>
          <w:tcPr>
            <w:tcW w:w="4535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Виды услуг и (или) работ по капитальному ремонту общего имущества в многоквартирном доме</w:t>
            </w:r>
          </w:p>
        </w:tc>
        <w:tc>
          <w:tcPr>
            <w:vMerge w:val="continue"/>
          </w:tcPr>
          <w:p/>
        </w:tc>
      </w:tr>
      <w:tr>
        <w:tc>
          <w:tcPr>
            <w:tcW w:w="1474" w:type="dxa"/>
          </w:tcPr>
          <w:p>
            <w:pPr>
              <w:pStyle w:val="0"/>
            </w:pPr>
            <w:r>
              <w:rPr>
                <w:sz w:val="24"/>
              </w:rPr>
              <w:t xml:space="preserve">3.1.5.</w:t>
            </w:r>
          </w:p>
        </w:tc>
        <w:tc>
          <w:tcPr>
            <w:gridSpan w:val="2"/>
            <w:tcW w:w="7597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Сведения об исполнении договора строительного подряда, предусмотренного </w:t>
            </w:r>
            <w:hyperlink w:history="0" r:id="rId37" w:tooltip="&quot;Жилищный кодекс Российской Федерации&quot; от 29.12.2004 N 188-ФЗ (ред. от 03.02.2025) {КонсультантПлюс}">
              <w:r>
                <w:rPr>
                  <w:sz w:val="24"/>
                  <w:color w:val="0000ff"/>
                </w:rPr>
                <w:t xml:space="preserve">частью 7 статьи 166</w:t>
              </w:r>
            </w:hyperlink>
            <w:r>
              <w:rPr>
                <w:sz w:val="24"/>
              </w:rPr>
              <w:t xml:space="preserve"> Жилищного кодекса Российской Федерации:</w:t>
            </w:r>
          </w:p>
        </w:tc>
      </w:tr>
      <w:tr>
        <w:tc>
          <w:tcPr>
            <w:tcW w:w="1474" w:type="dxa"/>
          </w:tcPr>
          <w:p>
            <w:pPr>
              <w:pStyle w:val="0"/>
            </w:pPr>
            <w:r>
              <w:rPr>
                <w:sz w:val="24"/>
              </w:rPr>
              <w:t xml:space="preserve">3.1.5.1.</w:t>
            </w:r>
          </w:p>
        </w:tc>
        <w:tc>
          <w:tcPr>
            <w:tcW w:w="4535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Копия акта (копии актов) выполненных работ (оказанных услуг)</w:t>
            </w:r>
          </w:p>
        </w:tc>
        <w:tc>
          <w:tcPr>
            <w:tcW w:w="3062" w:type="dxa"/>
            <w:vMerge w:val="restart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Не позднее 7 рабочих дней со дня подписания указанного акта приемки оказанных услуг и (или) выполненных работ</w:t>
            </w:r>
          </w:p>
        </w:tc>
      </w:tr>
      <w:tr>
        <w:tc>
          <w:tcPr>
            <w:tcW w:w="1474" w:type="dxa"/>
          </w:tcPr>
          <w:p>
            <w:pPr>
              <w:pStyle w:val="0"/>
            </w:pPr>
            <w:r>
              <w:rPr>
                <w:sz w:val="24"/>
              </w:rPr>
              <w:t xml:space="preserve">3.1.5.2.</w:t>
            </w:r>
          </w:p>
        </w:tc>
        <w:tc>
          <w:tcPr>
            <w:tcW w:w="4535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Дата подписания акта оказанных услуг и (или) выполненных работ</w:t>
            </w:r>
          </w:p>
        </w:tc>
        <w:tc>
          <w:tcPr>
            <w:vMerge w:val="continue"/>
          </w:tcPr>
          <w:p/>
        </w:tc>
      </w:tr>
      <w:tr>
        <w:tc>
          <w:tcPr>
            <w:tcW w:w="1474" w:type="dxa"/>
          </w:tcPr>
          <w:p>
            <w:pPr>
              <w:pStyle w:val="0"/>
            </w:pPr>
            <w:r>
              <w:rPr>
                <w:sz w:val="24"/>
              </w:rPr>
              <w:t xml:space="preserve">3.1.5.3.</w:t>
            </w:r>
          </w:p>
        </w:tc>
        <w:tc>
          <w:tcPr>
            <w:tcW w:w="4535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Стоимость оказанных услуг и (или) выполненных работ согласно акту (актам) приемки (при наличии) выполненных работ (оказанных услуг) при исполнении договора строительного подряда, предусмотренного </w:t>
            </w:r>
            <w:hyperlink w:history="0" r:id="rId38" w:tooltip="&quot;Жилищный кодекс Российской Федерации&quot; от 29.12.2004 N 188-ФЗ (ред. от 03.02.2025) {КонсультантПлюс}">
              <w:r>
                <w:rPr>
                  <w:sz w:val="24"/>
                  <w:color w:val="0000ff"/>
                </w:rPr>
                <w:t xml:space="preserve">частью 7 статьи 166</w:t>
              </w:r>
            </w:hyperlink>
            <w:r>
              <w:rPr>
                <w:sz w:val="24"/>
              </w:rPr>
              <w:t xml:space="preserve"> Жилищного кодекса Российской Федерации</w:t>
            </w:r>
          </w:p>
        </w:tc>
        <w:tc>
          <w:tcPr>
            <w:vMerge w:val="continue"/>
          </w:tcPr>
          <w:p/>
        </w:tc>
      </w:tr>
      <w:tr>
        <w:tc>
          <w:tcPr>
            <w:tcW w:w="1474" w:type="dxa"/>
          </w:tcPr>
          <w:p>
            <w:pPr>
              <w:pStyle w:val="0"/>
            </w:pPr>
            <w:r>
              <w:rPr>
                <w:sz w:val="24"/>
              </w:rPr>
              <w:t xml:space="preserve">3.1.5.4.</w:t>
            </w:r>
          </w:p>
        </w:tc>
        <w:tc>
          <w:tcPr>
            <w:tcW w:w="4535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Сумма средств, перечисленных на оплату услуг и (или) работ по капитальному ремонту общего имущества в многоквартирном доме</w:t>
            </w:r>
          </w:p>
        </w:tc>
        <w:tc>
          <w:tcPr>
            <w:tcW w:w="306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Не позднее 7 рабочих дней со дня проведения оплаты услуг и (или) работ по капитальному ремонту</w:t>
            </w:r>
          </w:p>
        </w:tc>
      </w:tr>
      <w:tr>
        <w:tc>
          <w:tcPr>
            <w:tcW w:w="1474" w:type="dxa"/>
          </w:tcPr>
          <w:p>
            <w:pPr>
              <w:pStyle w:val="0"/>
            </w:pPr>
            <w:r>
              <w:rPr>
                <w:sz w:val="24"/>
              </w:rPr>
              <w:t xml:space="preserve">3.1.5.5.</w:t>
            </w:r>
          </w:p>
        </w:tc>
        <w:tc>
          <w:tcPr>
            <w:tcW w:w="4535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Задолженность по оплате оказанных услуг и (или) выполненных работ по капитальному ремонту общего имущества в многоквартирном доме</w:t>
            </w:r>
          </w:p>
        </w:tc>
        <w:tc>
          <w:tcPr>
            <w:tcW w:w="306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Ежеквартально, не позднее 11 рабочих дней после отчетной даты, по состоянию на первое число месяца, следующего за отчетным кварталом</w:t>
            </w:r>
          </w:p>
        </w:tc>
      </w:tr>
      <w:tr>
        <w:tc>
          <w:tcPr>
            <w:tcW w:w="1474" w:type="dxa"/>
          </w:tcPr>
          <w:p>
            <w:pPr>
              <w:pStyle w:val="0"/>
            </w:pPr>
            <w:r>
              <w:rPr>
                <w:sz w:val="24"/>
              </w:rPr>
              <w:t xml:space="preserve">3.1.6.</w:t>
            </w:r>
          </w:p>
        </w:tc>
        <w:tc>
          <w:tcPr>
            <w:gridSpan w:val="2"/>
            <w:tcW w:w="7597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Сведения о расторжении договора строительного подряда, предусмотренного </w:t>
            </w:r>
            <w:hyperlink w:history="0" r:id="rId39" w:tooltip="&quot;Жилищный кодекс Российской Федерации&quot; от 29.12.2004 N 188-ФЗ (ред. от 03.02.2025) {КонсультантПлюс}">
              <w:r>
                <w:rPr>
                  <w:sz w:val="24"/>
                  <w:color w:val="0000ff"/>
                </w:rPr>
                <w:t xml:space="preserve">частью 7 статьи 166</w:t>
              </w:r>
            </w:hyperlink>
            <w:r>
              <w:rPr>
                <w:sz w:val="24"/>
              </w:rPr>
              <w:t xml:space="preserve"> Жилищного кодекса Российской Федерации:</w:t>
            </w:r>
          </w:p>
        </w:tc>
      </w:tr>
      <w:tr>
        <w:tc>
          <w:tcPr>
            <w:tcW w:w="1474" w:type="dxa"/>
          </w:tcPr>
          <w:p>
            <w:pPr>
              <w:pStyle w:val="0"/>
            </w:pPr>
            <w:r>
              <w:rPr>
                <w:sz w:val="24"/>
              </w:rPr>
              <w:t xml:space="preserve">3.1.6.1</w:t>
            </w:r>
          </w:p>
        </w:tc>
        <w:tc>
          <w:tcPr>
            <w:tcW w:w="4535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Документ, подтверждающий расторжение договора строительного подряда, предусмотренного </w:t>
            </w:r>
            <w:hyperlink w:history="0" r:id="rId40" w:tooltip="&quot;Жилищный кодекс Российской Федерации&quot; от 29.12.2004 N 188-ФЗ (ред. от 03.02.2025) {КонсультантПлюс}">
              <w:r>
                <w:rPr>
                  <w:sz w:val="24"/>
                  <w:color w:val="0000ff"/>
                </w:rPr>
                <w:t xml:space="preserve">частью 7 статьи 166</w:t>
              </w:r>
            </w:hyperlink>
            <w:r>
              <w:rPr>
                <w:sz w:val="24"/>
              </w:rPr>
              <w:t xml:space="preserve"> Жилищного кодекса Российской Федерации</w:t>
            </w:r>
          </w:p>
        </w:tc>
        <w:tc>
          <w:tcPr>
            <w:tcW w:w="306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Не позднее 7 рабочих дней со дня расторжения договора строительного подряда, предусмотренного </w:t>
            </w:r>
            <w:hyperlink w:history="0" r:id="rId41" w:tooltip="&quot;Жилищный кодекс Российской Федерации&quot; от 29.12.2004 N 188-ФЗ (ред. от 03.02.2025) {КонсультантПлюс}">
              <w:r>
                <w:rPr>
                  <w:sz w:val="24"/>
                  <w:color w:val="0000ff"/>
                </w:rPr>
                <w:t xml:space="preserve">частью 7 статьи 166</w:t>
              </w:r>
            </w:hyperlink>
            <w:r>
              <w:rPr>
                <w:sz w:val="24"/>
              </w:rPr>
              <w:t xml:space="preserve"> Жилищного кодекса Российской Федерации</w:t>
            </w:r>
          </w:p>
        </w:tc>
      </w:tr>
      <w:tr>
        <w:tc>
          <w:tcPr>
            <w:tcW w:w="1474" w:type="dxa"/>
          </w:tcPr>
          <w:p>
            <w:pPr>
              <w:pStyle w:val="0"/>
            </w:pPr>
            <w:r>
              <w:rPr>
                <w:sz w:val="24"/>
              </w:rPr>
              <w:t xml:space="preserve">3.1.7.</w:t>
            </w:r>
          </w:p>
        </w:tc>
        <w:tc>
          <w:tcPr>
            <w:gridSpan w:val="2"/>
            <w:tcW w:w="7597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Информация о выбранном собственниками помещений в многоквартирном доме способе формирования фонда капитального ремонта, а также документы, подтверждающие принятие решений:</w:t>
            </w:r>
          </w:p>
        </w:tc>
      </w:tr>
      <w:tr>
        <w:tc>
          <w:tcPr>
            <w:tcW w:w="1474" w:type="dxa"/>
          </w:tcPr>
          <w:p>
            <w:pPr>
              <w:pStyle w:val="0"/>
            </w:pPr>
            <w:r>
              <w:rPr>
                <w:sz w:val="24"/>
              </w:rPr>
              <w:t xml:space="preserve">3.1.7.1.</w:t>
            </w:r>
          </w:p>
        </w:tc>
        <w:tc>
          <w:tcPr>
            <w:tcW w:w="4535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Дата протокола общего собрания собственников помещений в многоквартирном доме, которым принято решение о формировании фонда капитального ремонта на специальном счете</w:t>
            </w:r>
          </w:p>
        </w:tc>
        <w:tc>
          <w:tcPr>
            <w:tcW w:w="3062" w:type="dxa"/>
            <w:vMerge w:val="restart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Не позднее 5 дней со дня открытия специального счета либо в течение 5 дней со дня произошедших изменений информации, указанной в подпункте 3.1.7 пункта 3 главы X</w:t>
            </w:r>
          </w:p>
        </w:tc>
      </w:tr>
      <w:tr>
        <w:tc>
          <w:tcPr>
            <w:tcW w:w="1474" w:type="dxa"/>
          </w:tcPr>
          <w:p>
            <w:pPr>
              <w:pStyle w:val="0"/>
            </w:pPr>
            <w:r>
              <w:rPr>
                <w:sz w:val="24"/>
              </w:rPr>
              <w:t xml:space="preserve">3.1.7.2.</w:t>
            </w:r>
          </w:p>
        </w:tc>
        <w:tc>
          <w:tcPr>
            <w:tcW w:w="4535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Номер протокола общего собрания собственников помещений в многоквартирном доме, которым принято решение о формировании фонда капитального ремонта на специальном счете</w:t>
            </w:r>
          </w:p>
        </w:tc>
        <w:tc>
          <w:tcPr>
            <w:vMerge w:val="continue"/>
          </w:tcPr>
          <w:p/>
        </w:tc>
      </w:tr>
      <w:tr>
        <w:tc>
          <w:tcPr>
            <w:tcW w:w="1474" w:type="dxa"/>
          </w:tcPr>
          <w:p>
            <w:pPr>
              <w:pStyle w:val="0"/>
            </w:pPr>
            <w:r>
              <w:rPr>
                <w:sz w:val="24"/>
              </w:rPr>
              <w:t xml:space="preserve">3.1.7.3.</w:t>
            </w:r>
          </w:p>
        </w:tc>
        <w:tc>
          <w:tcPr>
            <w:tcW w:w="4535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Дата вступления в силу решения общего собрания собственников помещений в многоквартирном доме о способе формирования фонда капитального ремонта на специальном счете</w:t>
            </w:r>
          </w:p>
        </w:tc>
        <w:tc>
          <w:tcPr>
            <w:vMerge w:val="continue"/>
          </w:tcPr>
          <w:p/>
        </w:tc>
      </w:tr>
      <w:tr>
        <w:tc>
          <w:tcPr>
            <w:tcW w:w="1474" w:type="dxa"/>
          </w:tcPr>
          <w:p>
            <w:pPr>
              <w:pStyle w:val="0"/>
            </w:pPr>
            <w:r>
              <w:rPr>
                <w:sz w:val="24"/>
              </w:rPr>
              <w:t xml:space="preserve">3.1.7.4.</w:t>
            </w:r>
          </w:p>
        </w:tc>
        <w:tc>
          <w:tcPr>
            <w:tcW w:w="4535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Дата, номер протокола общего собрания собственников помещений в многоквартирном доме или решения органа местного самоуправления о проведении капитального ремонта общего имущества в многоквартирном доме</w:t>
            </w:r>
          </w:p>
        </w:tc>
        <w:tc>
          <w:tcPr>
            <w:tcW w:w="306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Не позднее 5 дней со дня получения сведений о протоколе общего собрания собственников помещений в многоквартирном доме или решении органа местного самоуправления о проведении капитального ремонта</w:t>
            </w:r>
          </w:p>
        </w:tc>
      </w:tr>
    </w:tbl>
    <w:p>
      <w:pPr>
        <w:pStyle w:val="0"/>
        <w:spacing w:before="240" w:line-rule="auto"/>
        <w:jc w:val="right"/>
      </w:pPr>
      <w:r>
        <w:rPr>
          <w:sz w:val="24"/>
        </w:rPr>
        <w:t xml:space="preserve">".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5. В </w:t>
      </w:r>
      <w:hyperlink w:history="0" r:id="rId42" w:tooltip="Приказ Минстроя России от 07.02.2024 N 79/пр &quot;Об установлении состава, сроков и периодичности размещения информации поставщиками информации в государственной информационной системе жилищно-коммунального хозяйства, обязательное размещение которой предусмотрено Федеральным законом от 21 июля 2014 г. N 209-ФЗ &quot;О государственной информационной системе жилищно-коммунального хозяйства&quot; (Зарегистрировано в Минюсте России 29.02.2024 N 77383) {КонсультантПлюс}">
        <w:r>
          <w:rPr>
            <w:sz w:val="24"/>
            <w:color w:val="0000ff"/>
          </w:rPr>
          <w:t xml:space="preserve">главе XI</w:t>
        </w:r>
      </w:hyperlink>
      <w:r>
        <w:rPr>
          <w:sz w:val="24"/>
        </w:rPr>
        <w:t xml:space="preserve">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</w:t>
      </w:r>
      <w:hyperlink w:history="0" r:id="rId43" w:tooltip="Приказ Минстроя России от 07.02.2024 N 79/пр &quot;Об установлении состава, сроков и периодичности размещения информации поставщиками информации в государственной информационной системе жилищно-коммунального хозяйства, обязательное размещение которой предусмотрено Федеральным законом от 21 июля 2014 г. N 209-ФЗ &quot;О государственной информационной системе жилищно-коммунального хозяйства&quot; (Зарегистрировано в Минюсте России 29.02.2024 N 77383) {КонсультантПлюс}">
        <w:r>
          <w:rPr>
            <w:sz w:val="24"/>
            <w:color w:val="0000ff"/>
          </w:rPr>
          <w:t xml:space="preserve">подпункт 3.6 пункта 3</w:t>
        </w:r>
      </w:hyperlink>
      <w:r>
        <w:rPr>
          <w:sz w:val="24"/>
        </w:rPr>
        <w:t xml:space="preserve"> после слов "управляющими организациями" дополнить словами ", ТСЖ, кооперативами";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в </w:t>
      </w:r>
      <w:hyperlink w:history="0" r:id="rId44" w:tooltip="Приказ Минстроя России от 07.02.2024 N 79/пр &quot;Об установлении состава, сроков и периодичности размещения информации поставщиками информации в государственной информационной системе жилищно-коммунального хозяйства, обязательное размещение которой предусмотрено Федеральным законом от 21 июля 2014 г. N 209-ФЗ &quot;О государственной информационной системе жилищно-коммунального хозяйства&quot; (Зарегистрировано в Минюсте России 29.02.2024 N 77383) {КонсультантПлюс}">
        <w:r>
          <w:rPr>
            <w:sz w:val="24"/>
            <w:color w:val="0000ff"/>
          </w:rPr>
          <w:t xml:space="preserve">графе</w:t>
        </w:r>
      </w:hyperlink>
      <w:r>
        <w:rPr>
          <w:sz w:val="24"/>
        </w:rPr>
        <w:t xml:space="preserve"> "Состав размещаемой информации" подпункта 11.1.4.1 пункта 11 слова "договора подряда на выполнение работ (оказание услуг) по капитальному ремонту общего имущества в многоквартирном доме" заменить словами "договора строительного подряда, предусмотренного </w:t>
      </w:r>
      <w:hyperlink w:history="0" r:id="rId45" w:tooltip="&quot;Жилищный кодекс Российской Федерации&quot; от 29.12.2004 N 188-ФЗ (ред. от 03.02.2025) {КонсультантПлюс}">
        <w:r>
          <w:rPr>
            <w:sz w:val="24"/>
            <w:color w:val="0000ff"/>
          </w:rPr>
          <w:t xml:space="preserve">частью 7 статьи 166</w:t>
        </w:r>
      </w:hyperlink>
      <w:r>
        <w:rPr>
          <w:sz w:val="24"/>
        </w:rPr>
        <w:t xml:space="preserve"> Жилищного кодекса Российской Федерации";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</w:t>
      </w:r>
      <w:hyperlink w:history="0" r:id="rId46" w:tooltip="Приказ Минстроя России от 07.02.2024 N 79/пр &quot;Об установлении состава, сроков и периодичности размещения информации поставщиками информации в государственной информационной системе жилищно-коммунального хозяйства, обязательное размещение которой предусмотрено Федеральным законом от 21 июля 2014 г. N 209-ФЗ &quot;О государственной информационной системе жилищно-коммунального хозяйства&quot; (Зарегистрировано в Минюсте России 29.02.2024 N 77383)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пунктом 21 следующего содержания: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  <w:t xml:space="preserve">"</w:t>
      </w:r>
    </w:p>
    <w:p>
      <w:pPr>
        <w:spacing w:before="0"/>
        <w:spacing w:after="1"/>
      </w:pP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1474"/>
        <w:gridCol w:w="4535"/>
        <w:gridCol w:w="3061"/>
      </w:tblGrid>
      <w:tr>
        <w:tc>
          <w:tcPr>
            <w:tcW w:w="1474" w:type="dxa"/>
          </w:tcPr>
          <w:p>
            <w:pPr>
              <w:pStyle w:val="0"/>
            </w:pPr>
            <w:r>
              <w:rPr>
                <w:sz w:val="24"/>
              </w:rPr>
              <w:t xml:space="preserve">21.</w:t>
            </w:r>
          </w:p>
        </w:tc>
        <w:tc>
          <w:tcPr>
            <w:gridSpan w:val="2"/>
            <w:tcW w:w="7596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Информация об операторах связи, сети связи которых размещены на объектах общего имущества в многоквартирном доме &lt;*&gt;:</w:t>
            </w:r>
          </w:p>
        </w:tc>
      </w:tr>
      <w:tr>
        <w:tc>
          <w:tcPr>
            <w:tcW w:w="1474" w:type="dxa"/>
          </w:tcPr>
          <w:p>
            <w:pPr>
              <w:pStyle w:val="0"/>
            </w:pPr>
            <w:r>
              <w:rPr>
                <w:sz w:val="24"/>
              </w:rPr>
              <w:t xml:space="preserve">21.1.</w:t>
            </w:r>
          </w:p>
        </w:tc>
        <w:tc>
          <w:tcPr>
            <w:tcW w:w="4535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Полное и сокращенное (при наличии) наименования оператора связи с указанием организационно-правовой формы, ОГРН - для юридических лиц; фамилия, имя, отчество (при наличии) и ОГРИП (для индивидуальных предпринимателей)</w:t>
            </w:r>
          </w:p>
        </w:tc>
        <w:tc>
          <w:tcPr>
            <w:tcW w:w="3061" w:type="dxa"/>
            <w:tcBorders>
              <w:bottom w:val="nil"/>
            </w:tcBorders>
            <w:vMerge w:val="restart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В течение 10 рабочих дней со дня поступления лицу, осуществляющему управление многоквартирным домом, запроса об обеспечении доступа оператора связи к объектам общего имущества в многоквартирном доме от оператора связи либо в течение 30 дней со дня поступления обращения об актуализации сведений в отношении операторов связи, сети связи которых размещены на объектах общего имущества в многоквартирном доме</w:t>
            </w:r>
          </w:p>
        </w:tc>
      </w:tr>
      <w:tr>
        <w:tc>
          <w:tcPr>
            <w:tcW w:w="1474" w:type="dxa"/>
          </w:tcPr>
          <w:p>
            <w:pPr>
              <w:pStyle w:val="0"/>
            </w:pPr>
            <w:r>
              <w:rPr>
                <w:sz w:val="24"/>
              </w:rPr>
              <w:t xml:space="preserve">21.2.</w:t>
            </w:r>
          </w:p>
        </w:tc>
        <w:tc>
          <w:tcPr>
            <w:tcW w:w="4535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Сведения о лицензии (номер реестровой записи (лицензии), наименование органа, выдавшего лицензию, лицензируемый вид деятельности), на основании которой оператор связи планирует оказывать услуги связи в многоквартирном доме</w:t>
            </w:r>
          </w:p>
        </w:tc>
        <w:tc>
          <w:tcPr>
            <w:tcBorders>
              <w:bottom w:val="nil"/>
            </w:tcBorders>
            <w:vMerge w:val="continue"/>
          </w:tcPr>
          <w:p/>
        </w:tc>
      </w:tr>
      <w:tr>
        <w:tc>
          <w:tcPr>
            <w:tcW w:w="1474" w:type="dxa"/>
          </w:tcPr>
          <w:p>
            <w:pPr>
              <w:pStyle w:val="0"/>
            </w:pPr>
            <w:r>
              <w:rPr>
                <w:sz w:val="24"/>
              </w:rPr>
              <w:t xml:space="preserve">21.3.</w:t>
            </w:r>
          </w:p>
        </w:tc>
        <w:tc>
          <w:tcPr>
            <w:tcW w:w="4535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Адрес в пределах местонахождения (для юридических лиц), адрес регистрации по месту жительства (для индивидуальных предпринимателей), почтовый адрес оператора связи и адрес электронной почты оператора связи (при наличии)</w:t>
            </w:r>
          </w:p>
        </w:tc>
        <w:tc>
          <w:tcPr>
            <w:tcBorders>
              <w:bottom w:val="nil"/>
            </w:tcBorders>
            <w:vMerge w:val="continue"/>
          </w:tcPr>
          <w:p/>
        </w:tc>
      </w:tr>
      <w:tr>
        <w:tc>
          <w:tcPr>
            <w:tcW w:w="1474" w:type="dxa"/>
          </w:tcPr>
          <w:p>
            <w:pPr>
              <w:pStyle w:val="0"/>
            </w:pPr>
            <w:r>
              <w:rPr>
                <w:sz w:val="24"/>
              </w:rPr>
              <w:t xml:space="preserve">21.4.</w:t>
            </w:r>
          </w:p>
        </w:tc>
        <w:tc>
          <w:tcPr>
            <w:tcW w:w="4535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Адрес многоквартирного дома, в том числе с указанием подъезда, в котором оператор связи намерен осуществить монтаж сети связи</w:t>
            </w:r>
          </w:p>
        </w:tc>
        <w:tc>
          <w:tcPr>
            <w:tcBorders>
              <w:bottom w:val="nil"/>
            </w:tcBorders>
            <w:vMerge w:val="continue"/>
          </w:tcPr>
          <w:p/>
        </w:tc>
      </w:tr>
      <w:tr>
        <w:tc>
          <w:tcPr>
            <w:tcW w:w="1474" w:type="dxa"/>
          </w:tcPr>
          <w:p>
            <w:pPr>
              <w:pStyle w:val="0"/>
            </w:pPr>
            <w:r>
              <w:rPr>
                <w:sz w:val="24"/>
              </w:rPr>
              <w:t xml:space="preserve">21.5.</w:t>
            </w:r>
          </w:p>
        </w:tc>
        <w:tc>
          <w:tcPr>
            <w:tcW w:w="4535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Планируемый срок начала монтажа сетей связи в многоквартирном доме</w:t>
            </w:r>
          </w:p>
        </w:tc>
        <w:tc>
          <w:tcPr>
            <w:tcBorders>
              <w:bottom w:val="nil"/>
            </w:tcBorders>
            <w:vMerge w:val="continue"/>
          </w:tcPr>
          <w:p/>
        </w:tc>
      </w:tr>
      <w:tr>
        <w:tc>
          <w:tcPr>
            <w:tcW w:w="1474" w:type="dxa"/>
          </w:tcPr>
          <w:p>
            <w:pPr>
              <w:pStyle w:val="0"/>
            </w:pPr>
            <w:r>
              <w:rPr>
                <w:sz w:val="24"/>
              </w:rPr>
              <w:t xml:space="preserve">21.6.</w:t>
            </w:r>
          </w:p>
        </w:tc>
        <w:tc>
          <w:tcPr>
            <w:tcW w:w="4535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Фамилия, имя, отчество (при наличии) контактного лица оператора связи</w:t>
            </w:r>
          </w:p>
        </w:tc>
        <w:tc>
          <w:tcPr>
            <w:tcW w:w="3061" w:type="dxa"/>
            <w:tcBorders>
              <w:top w:val="nil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1474" w:type="dxa"/>
          </w:tcPr>
          <w:p>
            <w:pPr>
              <w:pStyle w:val="0"/>
            </w:pPr>
            <w:r>
              <w:rPr>
                <w:sz w:val="24"/>
              </w:rPr>
              <w:t xml:space="preserve">21.7.</w:t>
            </w:r>
          </w:p>
        </w:tc>
        <w:tc>
          <w:tcPr>
            <w:tcW w:w="4535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Номер телефона для связи с оператором связи, а также круглосуточный номер телефона технической поддержки оператора связи</w:t>
            </w:r>
          </w:p>
        </w:tc>
        <w:tc>
          <w:tcPr>
            <w:tcBorders>
              <w:top w:val="nil"/>
            </w:tcBorders>
            <w:vMerge w:val="continue"/>
          </w:tcPr>
          <w:p/>
        </w:tc>
      </w:tr>
      <w:tr>
        <w:tc>
          <w:tcPr>
            <w:tcW w:w="1474" w:type="dxa"/>
          </w:tcPr>
          <w:p>
            <w:pPr>
              <w:pStyle w:val="0"/>
            </w:pPr>
            <w:r>
              <w:rPr>
                <w:sz w:val="24"/>
              </w:rPr>
              <w:t xml:space="preserve">21.8.</w:t>
            </w:r>
          </w:p>
        </w:tc>
        <w:tc>
          <w:tcPr>
            <w:tcW w:w="4535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Реквизиты заявления собственника помещения в многоквартирном доме или нанимателя жилого помещения в многоквартирном доме по договору социального найма о заключении договора об оказании услуг связи или при наличии реквизиты договора об оказании услуг связи с такими лицами</w:t>
            </w:r>
          </w:p>
        </w:tc>
        <w:tc>
          <w:tcPr>
            <w:tcBorders>
              <w:top w:val="nil"/>
            </w:tcBorders>
            <w:vMerge w:val="continue"/>
          </w:tcPr>
          <w:p/>
        </w:tc>
      </w:tr>
      <w:tr>
        <w:tc>
          <w:tcPr>
            <w:tcW w:w="1474" w:type="dxa"/>
          </w:tcPr>
          <w:p>
            <w:pPr>
              <w:pStyle w:val="0"/>
            </w:pPr>
            <w:r>
              <w:rPr>
                <w:sz w:val="24"/>
              </w:rPr>
              <w:t xml:space="preserve">21.9.</w:t>
            </w:r>
          </w:p>
        </w:tc>
        <w:tc>
          <w:tcPr>
            <w:tcW w:w="4535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Максимальная мощность энергопринимающих устройств (при наличии)</w:t>
            </w:r>
          </w:p>
        </w:tc>
        <w:tc>
          <w:tcPr>
            <w:tcBorders>
              <w:top w:val="nil"/>
            </w:tcBorders>
            <w:vMerge w:val="continue"/>
          </w:tcPr>
          <w:p/>
        </w:tc>
      </w:tr>
      <w:tr>
        <w:tc>
          <w:tcPr>
            <w:tcW w:w="1474" w:type="dxa"/>
          </w:tcPr>
          <w:p>
            <w:pPr>
              <w:pStyle w:val="0"/>
            </w:pPr>
            <w:r>
              <w:rPr>
                <w:sz w:val="24"/>
              </w:rPr>
              <w:t xml:space="preserve">21.10.</w:t>
            </w:r>
          </w:p>
        </w:tc>
        <w:tc>
          <w:tcPr>
            <w:tcW w:w="4535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Категория надежности энергопринимающих устройств (при наличии)</w:t>
            </w:r>
          </w:p>
        </w:tc>
        <w:tc>
          <w:tcPr>
            <w:tcBorders>
              <w:top w:val="nil"/>
            </w:tcBorders>
            <w:vMerge w:val="continue"/>
          </w:tcPr>
          <w:p/>
        </w:tc>
      </w:tr>
      <w:tr>
        <w:tc>
          <w:tcPr>
            <w:tcW w:w="1474" w:type="dxa"/>
          </w:tcPr>
          <w:p>
            <w:pPr>
              <w:pStyle w:val="0"/>
            </w:pPr>
            <w:r>
              <w:rPr>
                <w:sz w:val="24"/>
              </w:rPr>
              <w:t xml:space="preserve">21.11.</w:t>
            </w:r>
          </w:p>
        </w:tc>
        <w:tc>
          <w:tcPr>
            <w:tcW w:w="4535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Перечень технической документации на многоквартирный дом, необходимой для монтажа и (или) эксплуатации сетей связи</w:t>
            </w:r>
          </w:p>
        </w:tc>
        <w:tc>
          <w:tcPr>
            <w:tcBorders>
              <w:top w:val="nil"/>
            </w:tcBorders>
            <w:vMerge w:val="continue"/>
          </w:tcPr>
          <w:p/>
        </w:tc>
      </w:tr>
      <w:tr>
        <w:tc>
          <w:tcPr>
            <w:tcW w:w="1474" w:type="dxa"/>
          </w:tcPr>
          <w:p>
            <w:pPr>
              <w:pStyle w:val="0"/>
            </w:pPr>
            <w:r>
              <w:rPr>
                <w:sz w:val="24"/>
              </w:rPr>
              <w:t xml:space="preserve">21.12.</w:t>
            </w:r>
          </w:p>
        </w:tc>
        <w:tc>
          <w:tcPr>
            <w:tcW w:w="4535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Состав сетей связи, в том числе перечень средств связи и линий связи оператора связи, монтированных на объектах общего имущества многоквартирного дома</w:t>
            </w:r>
          </w:p>
        </w:tc>
        <w:tc>
          <w:tcPr>
            <w:tcW w:w="3061" w:type="dxa"/>
            <w:vMerge w:val="restart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В течение 10 рабочих дней со дня подписания лицом, осуществляющим управление многоквартирным домом, акта выполненных работ либо получения описи существующих в многоквартирном доме сетей связи, принадлежащих оператору связи</w:t>
            </w:r>
          </w:p>
        </w:tc>
      </w:tr>
      <w:tr>
        <w:tc>
          <w:tcPr>
            <w:tcW w:w="1474" w:type="dxa"/>
          </w:tcPr>
          <w:p>
            <w:pPr>
              <w:pStyle w:val="0"/>
            </w:pPr>
            <w:r>
              <w:rPr>
                <w:sz w:val="24"/>
              </w:rPr>
              <w:t xml:space="preserve">21.13.</w:t>
            </w:r>
          </w:p>
        </w:tc>
        <w:tc>
          <w:tcPr>
            <w:tcW w:w="4535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Характеристики присоединения</w:t>
            </w:r>
          </w:p>
        </w:tc>
        <w:tc>
          <w:tcPr>
            <w:vMerge w:val="continue"/>
          </w:tcPr>
          <w:p/>
        </w:tc>
      </w:tr>
      <w:tr>
        <w:tc>
          <w:tcPr>
            <w:tcW w:w="1474" w:type="dxa"/>
          </w:tcPr>
          <w:p>
            <w:pPr>
              <w:pStyle w:val="0"/>
            </w:pPr>
            <w:r>
              <w:rPr>
                <w:sz w:val="24"/>
              </w:rPr>
              <w:t xml:space="preserve">21.14.</w:t>
            </w:r>
          </w:p>
        </w:tc>
        <w:tc>
          <w:tcPr>
            <w:tcW w:w="4535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Перечень средств связи и линий связи, демонтированных оператором связи, в том числе наименование оператора связи</w:t>
            </w:r>
          </w:p>
        </w:tc>
        <w:tc>
          <w:tcPr>
            <w:tcW w:w="3061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В течение 10 рабочих дней со дня получения лицом, осуществляющим управление многоквартирным домом, уведомления о демонтаже сетей связи от оператора связи либо по истечении сроков, установленных в протоколе общего собрания собственников помещений в многоквартирном доме, содержащем решение о демонтаже сетей связи</w:t>
            </w:r>
          </w:p>
        </w:tc>
      </w:tr>
    </w:tbl>
    <w:p>
      <w:pPr>
        <w:pStyle w:val="0"/>
        <w:spacing w:before="240" w:line-rule="auto"/>
        <w:jc w:val="right"/>
      </w:pPr>
      <w:r>
        <w:rPr>
          <w:sz w:val="24"/>
        </w:rPr>
        <w:t xml:space="preserve">";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г) </w:t>
      </w:r>
      <w:hyperlink w:history="0" r:id="rId47" w:tooltip="Приказ Минстроя России от 07.02.2024 N 79/пр &quot;Об установлении состава, сроков и периодичности размещения информации поставщиками информации в государственной информационной системе жилищно-коммунального хозяйства, обязательное размещение которой предусмотрено Федеральным законом от 21 июля 2014 г. N 209-ФЗ &quot;О государственной информационной системе жилищно-коммунального хозяйства&quot; (Зарегистрировано в Минюсте России 29.02.2024 N 77383)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сноской к пункту 21 следующего содержания: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"&lt;*&gt; </w:t>
      </w:r>
      <w:hyperlink w:history="0" r:id="rId48" w:tooltip="Постановление Правительства РФ от 06.08.2024 N 1055 &quot;Об утверждении Правил взаимодействия оператора связи и лица, осуществляющего управление многоквартирным домом, при монтаже, эксплуатации и демонтаже сетей связи на объектах общего имущества в многоквартирном доме&quot; {КонсультантПлюс}">
        <w:r>
          <w:rPr>
            <w:sz w:val="24"/>
            <w:color w:val="0000ff"/>
          </w:rPr>
          <w:t xml:space="preserve">Пункт 4</w:t>
        </w:r>
      </w:hyperlink>
      <w:r>
        <w:rPr>
          <w:sz w:val="24"/>
        </w:rPr>
        <w:t xml:space="preserve"> Правил взаимодействия оператора связи и лица, осуществляющего управление многоквартирным домом, при монтаже, эксплуатации и демонтаже сетей связи на объектах общего имущества в многоквартирном доме, утвержденных постановлением Правительства Российской Федерации от 6 августа 2024 г. N 1055.".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КонсультантПлюс: примечание.</w:t>
            </w:r>
          </w:p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Нумерация пунктов дана в соответствии с официальным текстом документа.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spacing w:before="300" w:line-rule="auto"/>
        <w:ind w:firstLine="540"/>
        <w:jc w:val="both"/>
      </w:pPr>
      <w:r>
        <w:rPr>
          <w:sz w:val="24"/>
        </w:rPr>
        <w:t xml:space="preserve">7. </w:t>
      </w:r>
      <w:hyperlink w:history="0" r:id="rId49" w:tooltip="Приказ Минстроя России от 07.02.2024 N 79/пр &quot;Об установлении состава, сроков и периодичности размещения информации поставщиками информации в государственной информационной системе жилищно-коммунального хозяйства, обязательное размещение которой предусмотрено Федеральным законом от 21 июля 2014 г. N 209-ФЗ &quot;О государственной информационной системе жилищно-коммунального хозяйства&quot; (Зарегистрировано в Минюсте России 29.02.2024 N 77383) {КонсультантПлюс}">
        <w:r>
          <w:rPr>
            <w:sz w:val="24"/>
            <w:color w:val="0000ff"/>
          </w:rPr>
          <w:t xml:space="preserve">Графу</w:t>
        </w:r>
      </w:hyperlink>
      <w:r>
        <w:rPr>
          <w:sz w:val="24"/>
        </w:rPr>
        <w:t xml:space="preserve"> "Состав размещаемой информации" подпункта 2.2.1.3 пункта 2 главы XIII изложить в следующей редакции: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"Информация о документе, удостоверяющем личность участника общего собрания (при наличии такой информации)".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Минстроя России от 13.02.2025 N 77/пр</w:t>
            <w:br/>
            <w:t>"О внесении изменений в состав, сроки и периодичность размещения информации...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26.02.2025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https://login.consultant.ru/link/?req=doc&amp;base=LAW&amp;n=493206&amp;date=26.02.2025&amp;dst=100094&amp;field=134&amp;demo=2" TargetMode = "External"/>
	<Relationship Id="rId8" Type="http://schemas.openxmlformats.org/officeDocument/2006/relationships/hyperlink" Target="https://login.consultant.ru/link/?req=doc&amp;base=LAW&amp;n=488458&amp;date=26.02.2025&amp;dst=166&amp;field=134&amp;demo=2" TargetMode = "External"/>
	<Relationship Id="rId9" Type="http://schemas.openxmlformats.org/officeDocument/2006/relationships/hyperlink" Target="https://login.consultant.ru/link/?req=doc&amp;base=LAW&amp;n=471189&amp;date=26.02.2025&amp;dst=100011&amp;field=134&amp;demo=2" TargetMode = "External"/>
	<Relationship Id="rId10" Type="http://schemas.openxmlformats.org/officeDocument/2006/relationships/hyperlink" Target="https://login.consultant.ru/link/?req=doc&amp;base=LAW&amp;n=471189&amp;date=26.02.2025&amp;dst=101671&amp;field=134&amp;demo=2" TargetMode = "External"/>
	<Relationship Id="rId11" Type="http://schemas.openxmlformats.org/officeDocument/2006/relationships/hyperlink" Target="https://login.consultant.ru/link/?req=doc&amp;base=LAW&amp;n=497804&amp;date=26.02.2025&amp;dst=505&amp;field=134&amp;demo=2" TargetMode = "External"/>
	<Relationship Id="rId12" Type="http://schemas.openxmlformats.org/officeDocument/2006/relationships/hyperlink" Target="https://login.consultant.ru/link/?req=doc&amp;base=LAW&amp;n=497804&amp;date=26.02.2025&amp;dst=508&amp;field=134&amp;demo=2" TargetMode = "External"/>
	<Relationship Id="rId13" Type="http://schemas.openxmlformats.org/officeDocument/2006/relationships/hyperlink" Target="https://login.consultant.ru/link/?req=doc&amp;base=LAW&amp;n=497804&amp;date=26.02.2025&amp;dst=505&amp;field=134&amp;demo=2" TargetMode = "External"/>
	<Relationship Id="rId14" Type="http://schemas.openxmlformats.org/officeDocument/2006/relationships/hyperlink" Target="https://login.consultant.ru/link/?req=doc&amp;base=LAW&amp;n=497804&amp;date=26.02.2025&amp;dst=508&amp;field=134&amp;demo=2" TargetMode = "External"/>
	<Relationship Id="rId15" Type="http://schemas.openxmlformats.org/officeDocument/2006/relationships/hyperlink" Target="https://login.consultant.ru/link/?req=doc&amp;base=LAW&amp;n=471189&amp;date=26.02.2025&amp;dst=102488&amp;field=134&amp;demo=2" TargetMode = "External"/>
	<Relationship Id="rId16" Type="http://schemas.openxmlformats.org/officeDocument/2006/relationships/hyperlink" Target="https://login.consultant.ru/link/?req=doc&amp;base=LAW&amp;n=471189&amp;date=26.02.2025&amp;dst=102922&amp;field=134&amp;demo=2" TargetMode = "External"/>
	<Relationship Id="rId17" Type="http://schemas.openxmlformats.org/officeDocument/2006/relationships/hyperlink" Target="https://login.consultant.ru/link/?req=doc&amp;base=LAW&amp;n=471189&amp;date=26.02.2025&amp;dst=103025&amp;field=134&amp;demo=2" TargetMode = "External"/>
	<Relationship Id="rId18" Type="http://schemas.openxmlformats.org/officeDocument/2006/relationships/hyperlink" Target="https://login.consultant.ru/link/?req=doc&amp;base=LAW&amp;n=471189&amp;date=26.02.2025&amp;dst=103029&amp;field=134&amp;demo=2" TargetMode = "External"/>
	<Relationship Id="rId19" Type="http://schemas.openxmlformats.org/officeDocument/2006/relationships/hyperlink" Target="https://login.consultant.ru/link/?req=doc&amp;base=LAW&amp;n=471189&amp;date=26.02.2025&amp;dst=103031&amp;field=134&amp;demo=2" TargetMode = "External"/>
	<Relationship Id="rId20" Type="http://schemas.openxmlformats.org/officeDocument/2006/relationships/hyperlink" Target="https://login.consultant.ru/link/?req=doc&amp;base=LAW&amp;n=471189&amp;date=26.02.2025&amp;dst=103067&amp;field=134&amp;demo=2" TargetMode = "External"/>
	<Relationship Id="rId21" Type="http://schemas.openxmlformats.org/officeDocument/2006/relationships/hyperlink" Target="https://login.consultant.ru/link/?req=doc&amp;base=LAW&amp;n=471189&amp;date=26.02.2025&amp;dst=103268&amp;field=134&amp;demo=2" TargetMode = "External"/>
	<Relationship Id="rId22" Type="http://schemas.openxmlformats.org/officeDocument/2006/relationships/hyperlink" Target="https://login.consultant.ru/link/?req=doc&amp;base=LAW&amp;n=471189&amp;date=26.02.2025&amp;dst=103484&amp;field=134&amp;demo=2" TargetMode = "External"/>
	<Relationship Id="rId23" Type="http://schemas.openxmlformats.org/officeDocument/2006/relationships/hyperlink" Target="https://login.consultant.ru/link/?req=doc&amp;base=LAW&amp;n=471189&amp;date=26.02.2025&amp;dst=103491&amp;field=134&amp;demo=2" TargetMode = "External"/>
	<Relationship Id="rId24" Type="http://schemas.openxmlformats.org/officeDocument/2006/relationships/hyperlink" Target="https://login.consultant.ru/link/?req=doc&amp;base=LAW&amp;n=471189&amp;date=26.02.2025&amp;dst=103541&amp;field=134&amp;demo=2" TargetMode = "External"/>
	<Relationship Id="rId25" Type="http://schemas.openxmlformats.org/officeDocument/2006/relationships/hyperlink" Target="https://login.consultant.ru/link/?req=doc&amp;base=LAW&amp;n=471189&amp;date=26.02.2025&amp;dst=103552&amp;field=134&amp;demo=2" TargetMode = "External"/>
	<Relationship Id="rId26" Type="http://schemas.openxmlformats.org/officeDocument/2006/relationships/hyperlink" Target="https://login.consultant.ru/link/?req=doc&amp;base=LAW&amp;n=497804&amp;date=26.02.2025&amp;dst=1299&amp;field=134&amp;demo=2" TargetMode = "External"/>
	<Relationship Id="rId27" Type="http://schemas.openxmlformats.org/officeDocument/2006/relationships/hyperlink" Target="https://login.consultant.ru/link/?req=doc&amp;base=LAW&amp;n=497804&amp;date=26.02.2025&amp;dst=1299&amp;field=134&amp;demo=2" TargetMode = "External"/>
	<Relationship Id="rId28" Type="http://schemas.openxmlformats.org/officeDocument/2006/relationships/hyperlink" Target="https://login.consultant.ru/link/?req=doc&amp;base=LAW&amp;n=497804&amp;date=26.02.2025&amp;dst=1299&amp;field=134&amp;demo=2" TargetMode = "External"/>
	<Relationship Id="rId29" Type="http://schemas.openxmlformats.org/officeDocument/2006/relationships/hyperlink" Target="https://login.consultant.ru/link/?req=doc&amp;base=LAW&amp;n=497804&amp;date=26.02.2025&amp;dst=1299&amp;field=134&amp;demo=2" TargetMode = "External"/>
	<Relationship Id="rId30" Type="http://schemas.openxmlformats.org/officeDocument/2006/relationships/hyperlink" Target="https://login.consultant.ru/link/?req=doc&amp;base=LAW&amp;n=471189&amp;date=26.02.2025&amp;dst=103605&amp;field=134&amp;demo=2" TargetMode = "External"/>
	<Relationship Id="rId31" Type="http://schemas.openxmlformats.org/officeDocument/2006/relationships/hyperlink" Target="https://login.consultant.ru/link/?req=doc&amp;base=LAW&amp;n=471189&amp;date=26.02.2025&amp;dst=103617&amp;field=134&amp;demo=2" TargetMode = "External"/>
	<Relationship Id="rId32" Type="http://schemas.openxmlformats.org/officeDocument/2006/relationships/hyperlink" Target="https://login.consultant.ru/link/?req=doc&amp;base=LAW&amp;n=471189&amp;date=26.02.2025&amp;dst=103650&amp;field=134&amp;demo=2" TargetMode = "External"/>
	<Relationship Id="rId33" Type="http://schemas.openxmlformats.org/officeDocument/2006/relationships/hyperlink" Target="https://login.consultant.ru/link/?req=doc&amp;base=LAW&amp;n=471189&amp;date=26.02.2025&amp;dst=103677&amp;field=134&amp;demo=2" TargetMode = "External"/>
	<Relationship Id="rId34" Type="http://schemas.openxmlformats.org/officeDocument/2006/relationships/hyperlink" Target="https://login.consultant.ru/link/?req=doc&amp;base=LAW&amp;n=497804&amp;date=26.02.2025&amp;dst=1299&amp;field=134&amp;demo=2" TargetMode = "External"/>
	<Relationship Id="rId35" Type="http://schemas.openxmlformats.org/officeDocument/2006/relationships/hyperlink" Target="https://login.consultant.ru/link/?req=doc&amp;base=LAW&amp;n=497804&amp;date=26.02.2025&amp;dst=1299&amp;field=134&amp;demo=2" TargetMode = "External"/>
	<Relationship Id="rId36" Type="http://schemas.openxmlformats.org/officeDocument/2006/relationships/hyperlink" Target="https://login.consultant.ru/link/?req=doc&amp;base=LAW&amp;n=497804&amp;date=26.02.2025&amp;dst=1299&amp;field=134&amp;demo=2" TargetMode = "External"/>
	<Relationship Id="rId37" Type="http://schemas.openxmlformats.org/officeDocument/2006/relationships/hyperlink" Target="https://login.consultant.ru/link/?req=doc&amp;base=LAW&amp;n=497804&amp;date=26.02.2025&amp;dst=1299&amp;field=134&amp;demo=2" TargetMode = "External"/>
	<Relationship Id="rId38" Type="http://schemas.openxmlformats.org/officeDocument/2006/relationships/hyperlink" Target="https://login.consultant.ru/link/?req=doc&amp;base=LAW&amp;n=497804&amp;date=26.02.2025&amp;dst=1299&amp;field=134&amp;demo=2" TargetMode = "External"/>
	<Relationship Id="rId39" Type="http://schemas.openxmlformats.org/officeDocument/2006/relationships/hyperlink" Target="https://login.consultant.ru/link/?req=doc&amp;base=LAW&amp;n=497804&amp;date=26.02.2025&amp;dst=1299&amp;field=134&amp;demo=2" TargetMode = "External"/>
	<Relationship Id="rId40" Type="http://schemas.openxmlformats.org/officeDocument/2006/relationships/hyperlink" Target="https://login.consultant.ru/link/?req=doc&amp;base=LAW&amp;n=497804&amp;date=26.02.2025&amp;dst=1299&amp;field=134&amp;demo=2" TargetMode = "External"/>
	<Relationship Id="rId41" Type="http://schemas.openxmlformats.org/officeDocument/2006/relationships/hyperlink" Target="https://login.consultant.ru/link/?req=doc&amp;base=LAW&amp;n=497804&amp;date=26.02.2025&amp;dst=1299&amp;field=134&amp;demo=2" TargetMode = "External"/>
	<Relationship Id="rId42" Type="http://schemas.openxmlformats.org/officeDocument/2006/relationships/hyperlink" Target="https://login.consultant.ru/link/?req=doc&amp;base=LAW&amp;n=471189&amp;date=26.02.2025&amp;dst=103741&amp;field=134&amp;demo=2" TargetMode = "External"/>
	<Relationship Id="rId43" Type="http://schemas.openxmlformats.org/officeDocument/2006/relationships/hyperlink" Target="https://login.consultant.ru/link/?req=doc&amp;base=LAW&amp;n=471189&amp;date=26.02.2025&amp;dst=104313&amp;field=134&amp;demo=2" TargetMode = "External"/>
	<Relationship Id="rId44" Type="http://schemas.openxmlformats.org/officeDocument/2006/relationships/hyperlink" Target="https://login.consultant.ru/link/?req=doc&amp;base=LAW&amp;n=471189&amp;date=26.02.2025&amp;dst=104806&amp;field=134&amp;demo=2" TargetMode = "External"/>
	<Relationship Id="rId45" Type="http://schemas.openxmlformats.org/officeDocument/2006/relationships/hyperlink" Target="https://login.consultant.ru/link/?req=doc&amp;base=LAW&amp;n=497804&amp;date=26.02.2025&amp;dst=1299&amp;field=134&amp;demo=2" TargetMode = "External"/>
	<Relationship Id="rId46" Type="http://schemas.openxmlformats.org/officeDocument/2006/relationships/hyperlink" Target="https://login.consultant.ru/link/?req=doc&amp;base=LAW&amp;n=471189&amp;date=26.02.2025&amp;dst=103741&amp;field=134&amp;demo=2" TargetMode = "External"/>
	<Relationship Id="rId47" Type="http://schemas.openxmlformats.org/officeDocument/2006/relationships/hyperlink" Target="https://login.consultant.ru/link/?req=doc&amp;base=LAW&amp;n=471189&amp;date=26.02.2025&amp;dst=103741&amp;field=134&amp;demo=2" TargetMode = "External"/>
	<Relationship Id="rId48" Type="http://schemas.openxmlformats.org/officeDocument/2006/relationships/hyperlink" Target="https://login.consultant.ru/link/?req=doc&amp;base=LAW&amp;n=482927&amp;date=26.02.2025&amp;dst=100024&amp;field=134&amp;demo=2" TargetMode = "External"/>
	<Relationship Id="rId49" Type="http://schemas.openxmlformats.org/officeDocument/2006/relationships/hyperlink" Target="https://login.consultant.ru/link/?req=doc&amp;base=LAW&amp;n=471189&amp;date=26.02.2025&amp;dst=105713&amp;field=134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Минстроя России от 13.02.2025 N 77/пр
"О внесении изменений в состав, сроки и периодичность размещения информации поставщиками информации в государственной информационной системе жилищно-коммунального хозяйства, обязательное размещение которой предусмотрено Федеральным законом от 21 июля 2014 г. N 209-ФЗ "О государственной информационной системе жилищно-коммунального хозяйства", установленные приказом Министерства строительства и жилищно-коммунального хозяйства Российской Федерации от 7 февраля 2024 </dc:title>
  <dcterms:created xsi:type="dcterms:W3CDTF">2025-02-26T12:53:45Z</dcterms:created>
</cp:coreProperties>
</file>