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февраля 2025 г. N 13-00219/25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Росреестра (далее - Управление) рассмотрело обращение, поступившее из Аппарата Правительства Российской Федерации, по вопросу платы за предоставление сведений, содержащихся в Едином государственном реестре недвижимости (далее - ЕГРН), 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Росреестре, утвержденным постановлением Правительства Российской Федерации от 01.06.2009 N 457 (далее - Положение N 457),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N 457 Росреестр не наделен полномочиями по официальному разъяснению законодательства Российской Федерации, а также практики его применения.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1.11.2022 N 448-ФЗ (ред. от 29.10.2024) &quot;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21.11.2022 N 448-ФЗ "О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году" (далее - Закон N 448-ФЗ) внесены изменения в </w:t>
      </w:r>
      <w:hyperlink w:history="0" r:id="rId9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статьи 51</w:t>
        </w:r>
      </w:hyperlink>
      <w:r>
        <w:rPr>
          <w:sz w:val="24"/>
        </w:rPr>
        <w:t xml:space="preserve">, </w:t>
      </w:r>
      <w:hyperlink w:history="0" r:id="rId10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57</w:t>
        </w:r>
      </w:hyperlink>
      <w:r>
        <w:rPr>
          <w:sz w:val="24"/>
        </w:rPr>
        <w:t xml:space="preserve"> Бюджетного кодекса Российской Федерации, в соответствии с которыми плата за предоставление публично-правовой компанией в сфере государственного кадастрового учета и государственной регистрации прав сведений, документов, содержащихся в государственных реестрах: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зачисляется в федеральный бюджет по нормативу 100 процентов (за исключением случая, когда предоставление указанных документов осуществляется через многофункциональный центр предоставления государственных и муниципальных услуг (далее - МФЦ);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зачисляется в федеральный бюджет по нормативу 85 процентов и в доходы бюджетов субъектов Российской Федерации по нормативу 15 процентов - в случае, когда предоставление указанных документов осуществляется через МФЦ, а также в случае подачи заявления о предоставлении сведений, документов, содержащихся в государственных реестрах, в электронной форме и выдачи указанных документов через МФЦ (пункты 29, 30 </w:t>
      </w:r>
      <w:hyperlink w:history="0" r:id="rId11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статьи 51</w:t>
        </w:r>
      </w:hyperlink>
      <w:r>
        <w:rPr>
          <w:sz w:val="24"/>
        </w:rPr>
        <w:t xml:space="preserve">, пункт 27 </w:t>
      </w:r>
      <w:hyperlink w:history="0" r:id="rId12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статьи 57</w:t>
        </w:r>
      </w:hyperlink>
      <w:r>
        <w:rPr>
          <w:sz w:val="24"/>
        </w:rPr>
        <w:t xml:space="preserve"> Бюджетного кодекса Российской Федерации).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</w:t>
      </w:r>
      <w:hyperlink w:history="0" r:id="rId13" w:tooltip="Федеральный закон от 05.12.2022 N 466-ФЗ &quot;О федеральном бюджете на 2023 год и на плановый период 2024 и 2025 годов&quot; {КонсультантПлюс}">
        <w:r>
          <w:rPr>
            <w:sz w:val="24"/>
            <w:color w:val="0000ff"/>
          </w:rPr>
          <w:t xml:space="preserve">частями 12</w:t>
        </w:r>
      </w:hyperlink>
      <w:r>
        <w:rPr>
          <w:sz w:val="24"/>
        </w:rPr>
        <w:t xml:space="preserve">, </w:t>
      </w:r>
      <w:hyperlink w:history="0" r:id="rId14" w:tooltip="Федеральный закон от 05.12.2022 N 466-ФЗ &quot;О федеральном бюджете на 2023 год и на плановый период 2024 и 2025 годов&quot; {КонсультантПлюс}">
        <w:r>
          <w:rPr>
            <w:sz w:val="24"/>
            <w:color w:val="0000ff"/>
          </w:rPr>
          <w:t xml:space="preserve">13 статьи 2</w:t>
        </w:r>
      </w:hyperlink>
      <w:r>
        <w:rPr>
          <w:sz w:val="24"/>
        </w:rPr>
        <w:t xml:space="preserve"> Федерального закона от 05.12.2022 N 466-ФЗ "О федеральном бюджете на 2023 год и на плановый период 2024 и 2025 годов" установлено, что доходы от платы за предоставление исполнительными органами субъектов Российской Федерации, осуществляющими переданные полномочия Российской Федерации в соответствии с </w:t>
      </w:r>
      <w:hyperlink w:history="0" r:id="rId15" w:tooltip="Федеральный закон от 13.07.2015 N 218-ФЗ (ред. от 27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8 статьи 72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недвижимости", сведений, документов, содержащихся в государственных реестрах, за исключением случая, если предоставление указанных документов осуществляется через МФЦ, подлежат зачислению в доход федерального бюджета по нормативу 100 процентов, а в случае, если предоставление указанных документов осуществляется через МФЦ, подлежат зачислению в доход федерального бюджета по нормативу 50 процентов и в доходы бюджетов соответствующих субъектов Российской Федерации по нормативу 50 процентов.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с 1 января 2023 года государственная услуга по предоставлению сведений, содержащихся в ЕГРН, оплачивается заявителями одним платежом, а поступающая плата распределяется органами Федерального казначейства между бюджетами бюджетной системы Российской Федерации в соответствии с нормативами, установленными бюджетным законодательством.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связи с указанными изменениями бюджетного законодательства в действующий на тот момент приказ Росреестра, устанавливающий размеры платы за предоставление сведений, содержащихся в ЕГРН, были внесены изменения, исключающие установление части платы, подлежащей зачислению МФЦ, за обеспечение их предоставления (</w:t>
      </w:r>
      <w:hyperlink w:history="0" r:id="rId16" w:tooltip="Приказ Росреестра от 27.01.2023 N П/0012 &quot;О внесении изменений в приказ Росреестра от 13 мая 2020 г. N П/0145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01.03.2023 N 72487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Росреестра от 27.01.2023 N П/0012 "О внесении изменений в приказ Росреестра от 13 мая 2020 г. N П/0145 "Об установлении размеров платы за предоставление сведений, содержащихся в Едином государственном реестре недвижимости, и иной информации").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Управления не содержат правовых норм или общих правил, конкретизирующих нормативные предписания, не являются нормативными правовыми актами, имеют информационный характер и не препятствуют руководствоваться непосредственно нормами законодательства.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</w:t>
      </w:r>
    </w:p>
    <w:p>
      <w:pPr>
        <w:pStyle w:val="0"/>
        <w:jc w:val="right"/>
      </w:pPr>
      <w:r>
        <w:rPr>
          <w:sz w:val="24"/>
        </w:rPr>
        <w:t xml:space="preserve">регулирования в сферах</w:t>
      </w:r>
    </w:p>
    <w:p>
      <w:pPr>
        <w:pStyle w:val="0"/>
        <w:jc w:val="right"/>
      </w:pPr>
      <w:r>
        <w:rPr>
          <w:sz w:val="24"/>
        </w:rPr>
        <w:t xml:space="preserve">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27.02.2025 N 13-00219/25</w:t>
            <w:br/>
            <w:t>&lt;По вопросу платы за предоставление сведений, содержащихся в ЕГРН&gt;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27.02.2025 N 13-00219/25 &lt;По вопросу платы за предоставление сведений, содержащихся в ЕГРН&gt;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331&amp;date=05.03.2025&amp;dst=100019&amp;field=134&amp;demo=2" TargetMode = "External"/>
	<Relationship Id="rId7" Type="http://schemas.openxmlformats.org/officeDocument/2006/relationships/hyperlink" Target="https://login.consultant.ru/link/?req=doc&amp;base=LAW&amp;n=493331&amp;date=05.03.2025&amp;dst=100019&amp;field=134&amp;demo=2" TargetMode = "External"/>
	<Relationship Id="rId8" Type="http://schemas.openxmlformats.org/officeDocument/2006/relationships/hyperlink" Target="https://login.consultant.ru/link/?req=doc&amp;base=LAW&amp;n=489350&amp;date=05.03.2025&amp;demo=2" TargetMode = "External"/>
	<Relationship Id="rId9" Type="http://schemas.openxmlformats.org/officeDocument/2006/relationships/hyperlink" Target="https://login.consultant.ru/link/?req=doc&amp;base=LAW&amp;n=466790&amp;date=05.03.2025&amp;dst=100331&amp;field=134&amp;demo=2" TargetMode = "External"/>
	<Relationship Id="rId10" Type="http://schemas.openxmlformats.org/officeDocument/2006/relationships/hyperlink" Target="https://login.consultant.ru/link/?req=doc&amp;base=LAW&amp;n=466790&amp;date=05.03.2025&amp;dst=244&amp;field=134&amp;demo=2" TargetMode = "External"/>
	<Relationship Id="rId11" Type="http://schemas.openxmlformats.org/officeDocument/2006/relationships/hyperlink" Target="https://login.consultant.ru/link/?req=doc&amp;base=LAW&amp;n=466790&amp;date=05.03.2025&amp;dst=100331&amp;field=134&amp;demo=2" TargetMode = "External"/>
	<Relationship Id="rId12" Type="http://schemas.openxmlformats.org/officeDocument/2006/relationships/hyperlink" Target="https://login.consultant.ru/link/?req=doc&amp;base=LAW&amp;n=466790&amp;date=05.03.2025&amp;dst=244&amp;field=134&amp;demo=2" TargetMode = "External"/>
	<Relationship Id="rId13" Type="http://schemas.openxmlformats.org/officeDocument/2006/relationships/hyperlink" Target="https://login.consultant.ru/link/?req=doc&amp;base=LAW&amp;n=433298&amp;date=05.03.2025&amp;dst=100038&amp;field=134&amp;demo=2" TargetMode = "External"/>
	<Relationship Id="rId14" Type="http://schemas.openxmlformats.org/officeDocument/2006/relationships/hyperlink" Target="https://login.consultant.ru/link/?req=doc&amp;base=LAW&amp;n=433298&amp;date=05.03.2025&amp;dst=100039&amp;field=134&amp;demo=2" TargetMode = "External"/>
	<Relationship Id="rId15" Type="http://schemas.openxmlformats.org/officeDocument/2006/relationships/hyperlink" Target="https://login.consultant.ru/link/?req=doc&amp;base=LAW&amp;n=481369&amp;date=05.03.2025&amp;dst=1357&amp;field=134&amp;demo=2" TargetMode = "External"/>
	<Relationship Id="rId16" Type="http://schemas.openxmlformats.org/officeDocument/2006/relationships/hyperlink" Target="https://login.consultant.ru/link/?req=doc&amp;base=LAW&amp;n=440985&amp;date=05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27.02.2025 N 13-00219/25
&lt;По вопросу платы за предоставление сведений, содержащихся в ЕГРН&gt;</dc:title>
  <dcterms:created xsi:type="dcterms:W3CDTF">2025-03-05T08:04:00Z</dcterms:created>
</cp:coreProperties>
</file>