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&lt;Письмо&gt; Росреестра от 14.02.2025 N 14-1325-ТГ/25</w:t>
              <w:br/>
              <w:t xml:space="preserve">&lt;О заключении законными представителями несовершеннолетних с близкими родственниками несовершеннолетних возмездных сделок по приобретению такими несовершеннолетними недвижимого имущества&gt;</w:t>
              <w:br/>
              <w:t xml:space="preserve">(вместе с &lt;Письмом&gt; Минпросвещения России от 11.02.2025 N АБ-426/07 "О направлении информации")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04.03.2025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ФЕДЕРАЛЬНАЯ СЛУЖБА ГОСУДАРСТВЕННОЙ РЕГИСТРАЦИИ,</w:t>
      </w:r>
    </w:p>
    <w:p>
      <w:pPr>
        <w:pStyle w:val="2"/>
        <w:jc w:val="center"/>
      </w:pPr>
      <w:r>
        <w:rPr>
          <w:sz w:val="24"/>
        </w:rPr>
        <w:t xml:space="preserve">КАДАСТРА И КАРТОГРАФИИ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14 февраля 2025 г. N 14-1325-ТГ/25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Федеральная служба государственной регистрации, кадастра и картографии направляет для сведения и учета в работе копию </w:t>
      </w:r>
      <w:hyperlink w:history="0" w:anchor="P21" w:tooltip="ПИСЬМО">
        <w:r>
          <w:rPr>
            <w:sz w:val="24"/>
            <w:color w:val="0000ff"/>
          </w:rPr>
          <w:t xml:space="preserve">письма</w:t>
        </w:r>
      </w:hyperlink>
      <w:r>
        <w:rPr>
          <w:sz w:val="24"/>
        </w:rPr>
        <w:t xml:space="preserve"> Министерства просвещения Российской Федерации от 11.02.2025 N АБ-426/07 по вопросу о заключении законными представителями несовершеннолетних с близкими родственниками несовершеннолетних возмездных сделок по приобретению такими несовершеннолетними недвижимого имущества.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Действующим законодательством установлен запрет на совершение сделок законными представителями несовершеннолетних с близкими родственниками, за исключением передачи имущества несовершеннолетнему в качестве дара или безвозмездное пользование.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Руководителям, исполняющим обязанности руководителей территориальных органов, Государственного комитета по государственной регистрации и кадастру Республики Крым, Управления государственной регистрации права и кадастра Севастополя необходимо обеспечить доведение до сведения государственных регистраторов прав соответствующей информации.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Т.А.ГРОМОВА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ПРОСВЕЩЕНИЯ РОССИЙСКОЙ ФЕДЕРАЦИИ</w:t>
      </w:r>
    </w:p>
    <w:p>
      <w:pPr>
        <w:pStyle w:val="2"/>
        <w:jc w:val="center"/>
      </w:pPr>
      <w:r>
        <w:rPr>
          <w:sz w:val="24"/>
        </w:rPr>
      </w:r>
    </w:p>
    <w:bookmarkStart w:id="21" w:name="P21"/>
    <w:bookmarkEnd w:id="21"/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11 февраля 2025 г. N АБ-426/07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НАПРАВЛЕНИИ ИНФОРМАЦИИ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Минпросвещения России в соответствии с письмом Федеральной службы государственной регистрации, кадастра и картографии о запросе позиции по вопросу о заключении законными представителями несовершеннолетних с близкими родственниками несовершеннолетних возмездных сделок по приобретению такими несовершеннолетними недвижимого имущества в рамках установленной компетенции сообщает.</w:t>
      </w:r>
    </w:p>
    <w:p>
      <w:pPr>
        <w:pStyle w:val="0"/>
        <w:spacing w:before="240" w:line-rule="auto"/>
        <w:ind w:firstLine="540"/>
        <w:jc w:val="both"/>
      </w:pPr>
      <w:hyperlink w:history="0" r:id="rId7" w:tooltip="Приказ Минпросвещения России от 01.04.2020 N 151 (с изм. от 12.04.2022) &quot;Об утверждении Регламента Министерства просвещения Российской Федерации&quot; (Зарегистрировано в Минюсте России 08.07.2020 N 58865) {КонсультантПлюс}">
        <w:r>
          <w:rPr>
            <w:sz w:val="24"/>
            <w:color w:val="0000ff"/>
          </w:rPr>
          <w:t xml:space="preserve">Пунктом 9.8</w:t>
        </w:r>
      </w:hyperlink>
      <w:r>
        <w:rPr>
          <w:sz w:val="24"/>
        </w:rPr>
        <w:t xml:space="preserve"> Регламента Министерства просвещения Российской Федерации, утвержденного приказом Минпросвещения России от 1 апреля 2020 г. N 151, предусмотрено, что Минпросвещения России не осуществляется разъяснение законодательства Российской Федерации, практики его применения, практики применения приказов Минпросвещения России, а также толкование норм, терминов и понятий по обращениям, за исключением случаев, если на него возложена соответствующая обязанность или если это необходимо для обоснования решения, принятого по обращению.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Вместе с тем хотелось бы обратить внимание на следующее.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рамках экспертно-методического сопровождения деятельности органов опеки и попечительства в отношении несовершеннолетних граждан Минпросвещения России были подготовлены методические </w:t>
      </w:r>
      <w:hyperlink w:history="0" r:id="rId8" w:tooltip="&lt;Письмо&gt; Минпросвещения России от 04.04.2023 N 07-1780 &quot;О методических рекомендациях&quot; (вместе с &quot;Методическими рекомендациями по вопросам выдачи органами опеки и попечительства предварительных разрешений на осуществление имущественных прав ребенка&quot;) {КонсультантПлюс}">
        <w:r>
          <w:rPr>
            <w:sz w:val="24"/>
            <w:color w:val="0000ff"/>
          </w:rPr>
          <w:t xml:space="preserve">рекомендации</w:t>
        </w:r>
      </w:hyperlink>
      <w:r>
        <w:rPr>
          <w:sz w:val="24"/>
        </w:rPr>
        <w:t xml:space="preserve"> по вопросам выдачи органами опеки и попечительства предварительных разрешений на осуществление имущественных прав ребенка (размещены на сайте ФГБУ "Центр защиты прав и интересов детей") (https://frcopeca.ru/materials/metodicheskie-rekomendacii2023), в том числе содержащие подходы судебной практики, которые необходимо учитывать в деятельности органа опеки и попечительства по конкретным правовым ситуациям.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указанных методических </w:t>
      </w:r>
      <w:hyperlink w:history="0" r:id="rId9" w:tooltip="&lt;Письмо&gt; Минпросвещения России от 04.04.2023 N 07-1780 &quot;О методических рекомендациях&quot; (вместе с &quot;Методическими рекомендациями по вопросам выдачи органами опеки и попечительства предварительных разрешений на осуществление имущественных прав ребенка&quot;) {КонсультантПлюс}">
        <w:r>
          <w:rPr>
            <w:sz w:val="24"/>
            <w:color w:val="0000ff"/>
          </w:rPr>
          <w:t xml:space="preserve">рекомендациях</w:t>
        </w:r>
      </w:hyperlink>
      <w:r>
        <w:rPr>
          <w:sz w:val="24"/>
        </w:rPr>
        <w:t xml:space="preserve"> отмечено, что в Конституционном Суде Российской Федерации неоднократно оспаривались гражданами на предмет соответствия </w:t>
      </w:r>
      <w:hyperlink w:history="0" r:id="rId10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Конституции</w:t>
        </w:r>
      </w:hyperlink>
      <w:r>
        <w:rPr>
          <w:sz w:val="24"/>
        </w:rPr>
        <w:t xml:space="preserve"> Российской Федерации положения </w:t>
      </w:r>
      <w:hyperlink w:history="0" r:id="rId11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пункта 3 статьи 37</w:t>
        </w:r>
      </w:hyperlink>
      <w:r>
        <w:rPr>
          <w:sz w:val="24"/>
        </w:rPr>
        <w:t xml:space="preserve"> Гражданского кодекса Российской Федерации (далее - ГК РФ), запрещающие опекуну, попечителю, их супругам и близким родственникам совершать сделки с подопечным, за исключением передачи имущества подопечному в качестве дара или в безвозмездное пользование, а также представлять подопечного при заключении сделок или ведении судебных дел между подопечным и супругом опекуна или попечителя и их близкими родственниками. При этом данная </w:t>
      </w:r>
      <w:hyperlink w:history="0" r:id="rId12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норма</w:t>
        </w:r>
      </w:hyperlink>
      <w:r>
        <w:rPr>
          <w:sz w:val="24"/>
        </w:rPr>
        <w:t xml:space="preserve"> оспаривалась в связи с распространением в практике указанного запрета на родителей ребенка и их родственников.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частности, можно привести </w:t>
      </w:r>
      <w:hyperlink w:history="0" r:id="rId13" w:tooltip="Определение Конституционного Суда РФ от 07.12.2017 N 2789-О &quot;Об отказе в принятии к рассмотрению жалобы граждан Гасанова Афраила Аваз оглы и Мамедовой Наргиз Абдулали кызы на нарушение их конституционных прав абзацем первым пункта 1 статьи 28 и пунктом 3 статьи 37 Гражданского кодекса Российской Федерации&quot; {КонсультантПлюс}">
        <w:r>
          <w:rPr>
            <w:sz w:val="24"/>
            <w:color w:val="0000ff"/>
          </w:rPr>
          <w:t xml:space="preserve">Определение</w:t>
        </w:r>
      </w:hyperlink>
      <w:r>
        <w:rPr>
          <w:sz w:val="24"/>
        </w:rPr>
        <w:t xml:space="preserve"> Конституционного Суда Российской Федерации от 7 декабря 2017 г. N 2789-О "Об отказе в принятии к рассмотрению жалобы граждан Гасанова Афраила Аваз оглы и Мамедовой Наргиз Абдулали кызы на нарушение их конституционных прав абзацем первым пункта 1 статьи 28 и пунктом 3 статьи 37 Гражданского кодекса Российской Федерации". В данном деле на совершение сделки было получено предварительное разрешение органа опеки и попечительства, однако нотариус отказал в нотариальном удостоверении договора родственной мены на основании того, что такой договор ничтожен и противоречит </w:t>
      </w:r>
      <w:hyperlink w:history="0" r:id="rId14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пункту 3 статьи 37</w:t>
        </w:r>
      </w:hyperlink>
      <w:r>
        <w:rPr>
          <w:sz w:val="24"/>
        </w:rPr>
        <w:t xml:space="preserve"> ГК РФ. Обжалование действий нотариуса в судебном порядке подтвердило законность отказа нотариуса в удостоверении сделки, в связи с чем законные представители несовершеннолетних обратились в Конституционный Суд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мнению заявителей, оспариваемые законоположения в той мере, в какой по смыслу, придаваемому правоприменительной практикой, они запрещают родителям совершать со своими несовершеннолетними детьми иные сделки, кроме передачи имущества в дар или безвозмездное пользование, в том числе если такие сделки направлены к выгоде несовершеннолетних детей, противоречат </w:t>
      </w:r>
      <w:hyperlink w:history="0" r:id="rId15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статьям 19 (части 1</w:t>
        </w:r>
      </w:hyperlink>
      <w:r>
        <w:rPr>
          <w:sz w:val="24"/>
        </w:rPr>
        <w:t xml:space="preserve"> и </w:t>
      </w:r>
      <w:hyperlink w:history="0" r:id="rId16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2)</w:t>
        </w:r>
      </w:hyperlink>
      <w:r>
        <w:rPr>
          <w:sz w:val="24"/>
        </w:rPr>
        <w:t xml:space="preserve">, </w:t>
      </w:r>
      <w:hyperlink w:history="0" r:id="rId17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38 (часть 2)</w:t>
        </w:r>
      </w:hyperlink>
      <w:r>
        <w:rPr>
          <w:sz w:val="24"/>
        </w:rPr>
        <w:t xml:space="preserve"> и </w:t>
      </w:r>
      <w:hyperlink w:history="0" r:id="rId18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55 (часть 3)</w:t>
        </w:r>
      </w:hyperlink>
      <w:r>
        <w:rPr>
          <w:sz w:val="24"/>
        </w:rPr>
        <w:t xml:space="preserve"> Конституции Российской Федерации. Конституция Российской Федерации в </w:t>
      </w:r>
      <w:hyperlink w:history="0" r:id="rId19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статье 38 (часть 2)</w:t>
        </w:r>
      </w:hyperlink>
      <w:r>
        <w:rPr>
          <w:sz w:val="24"/>
        </w:rPr>
        <w:t xml:space="preserve"> предусматривает, что забота о детях, их воспитание - равное право и обязанность родителей.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Согласно положениям Семейного </w:t>
      </w:r>
      <w:hyperlink w:history="0" r:id="rId20" w:tooltip="&quot;Семейный кодекс Российской Федерации&quot; от 29.12.1995 N 223-ФЗ (ред. от 23.11.2024) (с изм. и доп., вступ. в силу с 05.02.2025) {КонсультантПлюс}">
        <w:r>
          <w:rPr>
            <w:sz w:val="24"/>
            <w:color w:val="0000ff"/>
          </w:rPr>
          <w:t xml:space="preserve">кодекса</w:t>
        </w:r>
      </w:hyperlink>
      <w:r>
        <w:rPr>
          <w:sz w:val="24"/>
        </w:rPr>
        <w:t xml:space="preserve"> Российской Федерации (далее - СК РФ) защита прав и интересов детей возлагается на их родителей, родительские права не могут осуществляться в противоречии с интересами детей, обеспечение интересов детей должно быть предметом основной заботы их родителей, при осуществлении родителями правомочий по управлению имуществом ребенка на них распространяются правила, установленные гражданским законодательством в отношении распоряжения имуществом подопечного (</w:t>
      </w:r>
      <w:hyperlink w:history="0" r:id="rId21" w:tooltip="&quot;Семейный кодекс Российской Федерации&quot; от 29.12.1995 N 223-ФЗ (ред. от 23.11.2024) (с изм. и доп., вступ. в силу с 05.02.2025) {КонсультантПлюс}">
        <w:r>
          <w:rPr>
            <w:sz w:val="24"/>
            <w:color w:val="0000ff"/>
          </w:rPr>
          <w:t xml:space="preserve">пункт 3 статьи 60</w:t>
        </w:r>
      </w:hyperlink>
      <w:r>
        <w:rPr>
          <w:sz w:val="24"/>
        </w:rPr>
        <w:t xml:space="preserve">, </w:t>
      </w:r>
      <w:hyperlink w:history="0" r:id="rId22" w:tooltip="&quot;Семейный кодекс Российской Федерации&quot; от 29.12.1995 N 223-ФЗ (ред. от 23.11.2024) (с изм. и доп., вступ. в силу с 05.02.2025) {КонсультантПлюс}">
        <w:r>
          <w:rPr>
            <w:sz w:val="24"/>
            <w:color w:val="0000ff"/>
          </w:rPr>
          <w:t xml:space="preserve">пункт 1 статьи 64</w:t>
        </w:r>
      </w:hyperlink>
      <w:r>
        <w:rPr>
          <w:sz w:val="24"/>
        </w:rPr>
        <w:t xml:space="preserve">, </w:t>
      </w:r>
      <w:hyperlink w:history="0" r:id="rId23" w:tooltip="&quot;Семейный кодекс Российской Федерации&quot; от 29.12.1995 N 223-ФЗ (ред. от 23.11.2024) (с изм. и доп., вступ. в силу с 05.02.2025) {КонсультантПлюс}">
        <w:r>
          <w:rPr>
            <w:sz w:val="24"/>
            <w:color w:val="0000ff"/>
          </w:rPr>
          <w:t xml:space="preserve">пункт 1 статьи 65</w:t>
        </w:r>
      </w:hyperlink>
      <w:r>
        <w:rPr>
          <w:sz w:val="24"/>
        </w:rPr>
        <w:t xml:space="preserve"> СК РФ).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силу </w:t>
      </w:r>
      <w:hyperlink w:history="0" r:id="rId24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пункта 2 статьи 37</w:t>
        </w:r>
      </w:hyperlink>
      <w:r>
        <w:rPr>
          <w:sz w:val="24"/>
        </w:rPr>
        <w:t xml:space="preserve"> ГК РФ опекун не вправе без предварительного разрешения органа опеки и попечительства совершать, а попечитель - давать согласие на совершение сделок по отчуждению, в том числе обмену или дарению имущества подопечного, сдаче его внаем (в аренду), в безвозмездное пользование или в залог, сделок, влекущих отказ от принадлежащих подопечному прав, раздел его имущества или выдел из него долей, а также любых других действий, влекущих уменьшение имущества подопечного.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Порядок управления имуществом подопечного определяется Федеральным </w:t>
      </w:r>
      <w:hyperlink w:history="0" r:id="rId25" w:tooltip="Федеральный закон от 24.04.2008 N 48-ФЗ (ред. от 08.08.2024) &quot;Об опеке и попечительстве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24 апреля 2008 г. N 48-ФЗ "Об опеке и попечительстве" (далее - Федеральный закон N 48-ФЗ).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Так, </w:t>
      </w:r>
      <w:hyperlink w:history="0" r:id="rId26" w:tooltip="Федеральный закон от 24.04.2008 N 48-ФЗ (ред. от 08.08.2024) &quot;Об опеке и попечительстве&quot; {КонсультантПлюс}">
        <w:r>
          <w:rPr>
            <w:sz w:val="24"/>
            <w:color w:val="0000ff"/>
          </w:rPr>
          <w:t xml:space="preserve">пунктом 3 части 1 статьи 20</w:t>
        </w:r>
      </w:hyperlink>
      <w:r>
        <w:rPr>
          <w:sz w:val="24"/>
        </w:rPr>
        <w:t xml:space="preserve"> Федерального закона N 48-ФЗ установлен запрет на отчуждение недвижимого имущества, принадлежащего подопечному, за исключением отчуждения по договору мены, если такой договор совершается к выгоде подопечного.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этом в соответствии с </w:t>
      </w:r>
      <w:hyperlink w:history="0" r:id="rId27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пунктом 3 статьи 37</w:t>
        </w:r>
      </w:hyperlink>
      <w:r>
        <w:rPr>
          <w:sz w:val="24"/>
        </w:rPr>
        <w:t xml:space="preserve"> ГК РФ, распространяющимся в силу </w:t>
      </w:r>
      <w:hyperlink w:history="0" r:id="rId28" w:tooltip="&quot;Семейный кодекс Российской Федерации&quot; от 29.12.1995 N 223-ФЗ (ред. от 23.11.2024) (с изм. и доп., вступ. в силу с 05.02.2025) {КонсультантПлюс}">
        <w:r>
          <w:rPr>
            <w:sz w:val="24"/>
            <w:color w:val="0000ff"/>
          </w:rPr>
          <w:t xml:space="preserve">пункта 3 статьи 60</w:t>
        </w:r>
      </w:hyperlink>
      <w:r>
        <w:rPr>
          <w:sz w:val="24"/>
        </w:rPr>
        <w:t xml:space="preserve"> СК РФ и </w:t>
      </w:r>
      <w:hyperlink w:history="0" r:id="rId29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пункта 1 статьи 28</w:t>
        </w:r>
      </w:hyperlink>
      <w:r>
        <w:rPr>
          <w:sz w:val="24"/>
        </w:rPr>
        <w:t xml:space="preserve"> ГК РФ на имущественные отношения между несовершеннолетними детьми и их родителями, совершение между подопечными, с одной стороны, и их опекунами, попечителями, их супругами и их близкими родственниками, с другой стороны, сделок иных, кроме передачи имущества подопечному в качестве дара или в безвозмездное пользование, не допускается.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Конституционный Суд Российской Федерации в своих решениях неоднократно указывал, что закрепленный положениями гражданского и семейного законодательства в их взаимосвязи специальный порядок совершения родителями как законными представителями своих несовершеннолетних детей сделок с принадлежащим детям имуществом направлен на защиту прав и интересов несовершеннолетних и не может рассматриваться как нарушающий </w:t>
      </w:r>
      <w:hyperlink w:history="0" r:id="rId30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статью 35 (часть 2)</w:t>
        </w:r>
      </w:hyperlink>
      <w:r>
        <w:rPr>
          <w:sz w:val="24"/>
        </w:rPr>
        <w:t xml:space="preserve"> Конституции Российской Федерации, согласно которой каждый вправе иметь имущество в собственности, владеть, пользоваться и распоряжаться им как единолично, так и совместно с другими лицами, и противоречащий </w:t>
      </w:r>
      <w:hyperlink w:history="0" r:id="rId31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статье 55 (часть 3)</w:t>
        </w:r>
      </w:hyperlink>
      <w:r>
        <w:rPr>
          <w:sz w:val="24"/>
        </w:rPr>
        <w:t xml:space="preserve"> Конституции Российской Федерации, допускающей ограничение федеральным законом прав и свобод человека и гражданина в целях защиты прав и законных интересов других лиц (</w:t>
      </w:r>
      <w:hyperlink w:history="0" r:id="rId32" w:tooltip="Постановление Конституционного Суда РФ от 08.06.2010 N 13-П &quot;По делу о проверке конституционности пункта 4 статьи 292 Гражданского кодекса Российской Федерации в связи с жалобой гражданки В.В. Чадаевой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от 8 июня 2010 г. N 13-П; Определения от 6 марта 2003 г. </w:t>
      </w:r>
      <w:hyperlink w:history="0" r:id="rId33" w:tooltip="Определение Конституционного Суда РФ от 06.03.2003 N 119-О &quot;Об отказе в принятии к рассмотрению жалобы гражданина Лазарева Владимира Ивановича на нарушение его конституционных прав положениями статей 28 и 292 Гражданского кодекса Российской Федерации&quot; {КонсультантПлюс}">
        <w:r>
          <w:rPr>
            <w:sz w:val="24"/>
            <w:color w:val="0000ff"/>
          </w:rPr>
          <w:t xml:space="preserve">N 119-О</w:t>
        </w:r>
      </w:hyperlink>
      <w:r>
        <w:rPr>
          <w:sz w:val="24"/>
        </w:rPr>
        <w:t xml:space="preserve"> и 17 февраля 2015 г. </w:t>
      </w:r>
      <w:hyperlink w:history="0" r:id="rId34" w:tooltip="Определение Конституционного Суда РФ от 17.02.2015 N 246-О &quot;Об отказе в принятии к рассмотрению жалобы гражданки Матюхиной Аллы Владимировны на нарушение конституционных прав ее несовершеннолетнего сына абзацем вторым пункта 1 статьи 28, пунктом 2 статьи 37 Гражданского кодекса Российской Федерации и пунктом 5 статьи 74 Федерального закона &quot;Об ипотеке (залоге недвижимости)&quot; {КонсультантПлюс}">
        <w:r>
          <w:rPr>
            <w:sz w:val="24"/>
            <w:color w:val="0000ff"/>
          </w:rPr>
          <w:t xml:space="preserve">N 246-О</w:t>
        </w:r>
      </w:hyperlink>
      <w:r>
        <w:rPr>
          <w:sz w:val="24"/>
        </w:rPr>
        <w:t xml:space="preserve">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Соответственно, само по себе установленное в </w:t>
      </w:r>
      <w:hyperlink w:history="0" r:id="rId35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пункте 3 статьи 37</w:t>
        </w:r>
      </w:hyperlink>
      <w:r>
        <w:rPr>
          <w:sz w:val="24"/>
        </w:rPr>
        <w:t xml:space="preserve"> ГК РФ ограничение на совершение опекуном, попечителем, их супругами и близкими родственниками иных, за исключением передачи имущества подопечному в качестве дара или в безвозмездное пользование, сделок с подопечным направлено на защиту наименее защищенной в этих отношениях стороны - несовершеннолетних детей и лиц, находящихся под опекой (попечительством), и не может рассматриваться как нарушающее какие-либо конституционные права граждан, в том числе равное право и обязанность родителей заботиться о детях.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Таким образом, действующим законодательством установлен запрет на совершение сделок законными представителями несовершеннолетних с близкими родственниками, за исключением передачи имущества несовершеннолетнему в качества дара или в безвозмездное пользование.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А.В.БУГАЕВ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Росреестра от 14.02.2025 N 14-1325-ТГ/25</w:t>
            <w:br/>
            <w:t>&lt;О заключении законными представителями несовершеннолетних с близкими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356736&amp;date=04.03.2025&amp;dst=100478&amp;field=134&amp;demo=2" TargetMode = "External"/>
	<Relationship Id="rId8" Type="http://schemas.openxmlformats.org/officeDocument/2006/relationships/hyperlink" Target="https://login.consultant.ru/link/?req=doc&amp;base=LAW&amp;n=447666&amp;date=04.03.2025&amp;dst=100012&amp;field=134&amp;demo=2" TargetMode = "External"/>
	<Relationship Id="rId9" Type="http://schemas.openxmlformats.org/officeDocument/2006/relationships/hyperlink" Target="https://login.consultant.ru/link/?req=doc&amp;base=LAW&amp;n=447666&amp;date=04.03.2025&amp;dst=101068&amp;field=134&amp;demo=2" TargetMode = "External"/>
	<Relationship Id="rId10" Type="http://schemas.openxmlformats.org/officeDocument/2006/relationships/hyperlink" Target="https://login.consultant.ru/link/?req=doc&amp;base=LAW&amp;n=2875&amp;date=04.03.2025&amp;demo=2" TargetMode = "External"/>
	<Relationship Id="rId11" Type="http://schemas.openxmlformats.org/officeDocument/2006/relationships/hyperlink" Target="https://login.consultant.ru/link/?req=doc&amp;base=LAW&amp;n=482692&amp;date=04.03.2025&amp;dst=100212&amp;field=134&amp;demo=2" TargetMode = "External"/>
	<Relationship Id="rId12" Type="http://schemas.openxmlformats.org/officeDocument/2006/relationships/hyperlink" Target="https://login.consultant.ru/link/?req=doc&amp;base=LAW&amp;n=482692&amp;date=04.03.2025&amp;dst=100212&amp;field=134&amp;demo=2" TargetMode = "External"/>
	<Relationship Id="rId13" Type="http://schemas.openxmlformats.org/officeDocument/2006/relationships/hyperlink" Target="https://login.consultant.ru/link/?req=doc&amp;base=ARB&amp;n=523032&amp;date=04.03.2025&amp;demo=2" TargetMode = "External"/>
	<Relationship Id="rId14" Type="http://schemas.openxmlformats.org/officeDocument/2006/relationships/hyperlink" Target="https://login.consultant.ru/link/?req=doc&amp;base=LAW&amp;n=482692&amp;date=04.03.2025&amp;dst=100212&amp;field=134&amp;demo=2" TargetMode = "External"/>
	<Relationship Id="rId15" Type="http://schemas.openxmlformats.org/officeDocument/2006/relationships/hyperlink" Target="https://login.consultant.ru/link/?req=doc&amp;base=LAW&amp;n=2875&amp;date=04.03.2025&amp;dst=100082&amp;field=134&amp;demo=2" TargetMode = "External"/>
	<Relationship Id="rId16" Type="http://schemas.openxmlformats.org/officeDocument/2006/relationships/hyperlink" Target="https://login.consultant.ru/link/?req=doc&amp;base=LAW&amp;n=2875&amp;date=04.03.2025&amp;dst=100083&amp;field=134&amp;demo=2" TargetMode = "External"/>
	<Relationship Id="rId17" Type="http://schemas.openxmlformats.org/officeDocument/2006/relationships/hyperlink" Target="https://login.consultant.ru/link/?req=doc&amp;base=LAW&amp;n=2875&amp;date=04.03.2025&amp;dst=100149&amp;field=134&amp;demo=2" TargetMode = "External"/>
	<Relationship Id="rId18" Type="http://schemas.openxmlformats.org/officeDocument/2006/relationships/hyperlink" Target="https://login.consultant.ru/link/?req=doc&amp;base=LAW&amp;n=2875&amp;date=04.03.2025&amp;dst=100209&amp;field=134&amp;demo=2" TargetMode = "External"/>
	<Relationship Id="rId19" Type="http://schemas.openxmlformats.org/officeDocument/2006/relationships/hyperlink" Target="https://login.consultant.ru/link/?req=doc&amp;base=LAW&amp;n=2875&amp;date=04.03.2025&amp;dst=100149&amp;field=134&amp;demo=2" TargetMode = "External"/>
	<Relationship Id="rId20" Type="http://schemas.openxmlformats.org/officeDocument/2006/relationships/hyperlink" Target="https://login.consultant.ru/link/?req=doc&amp;base=LAW&amp;n=482834&amp;date=04.03.2025&amp;dst=100295&amp;field=134&amp;demo=2" TargetMode = "External"/>
	<Relationship Id="rId21" Type="http://schemas.openxmlformats.org/officeDocument/2006/relationships/hyperlink" Target="https://login.consultant.ru/link/?req=doc&amp;base=LAW&amp;n=482834&amp;date=04.03.2025&amp;dst=100276&amp;field=134&amp;demo=2" TargetMode = "External"/>
	<Relationship Id="rId22" Type="http://schemas.openxmlformats.org/officeDocument/2006/relationships/hyperlink" Target="https://login.consultant.ru/link/?req=doc&amp;base=LAW&amp;n=482834&amp;date=04.03.2025&amp;dst=100296&amp;field=134&amp;demo=2" TargetMode = "External"/>
	<Relationship Id="rId23" Type="http://schemas.openxmlformats.org/officeDocument/2006/relationships/hyperlink" Target="https://login.consultant.ru/link/?req=doc&amp;base=LAW&amp;n=482834&amp;date=04.03.2025&amp;dst=100300&amp;field=134&amp;demo=2" TargetMode = "External"/>
	<Relationship Id="rId24" Type="http://schemas.openxmlformats.org/officeDocument/2006/relationships/hyperlink" Target="https://login.consultant.ru/link/?req=doc&amp;base=LAW&amp;n=482692&amp;date=04.03.2025&amp;dst=279&amp;field=134&amp;demo=2" TargetMode = "External"/>
	<Relationship Id="rId25" Type="http://schemas.openxmlformats.org/officeDocument/2006/relationships/hyperlink" Target="https://login.consultant.ru/link/?req=doc&amp;base=LAW&amp;n=483237&amp;date=04.03.2025&amp;dst=100119&amp;field=134&amp;demo=2" TargetMode = "External"/>
	<Relationship Id="rId26" Type="http://schemas.openxmlformats.org/officeDocument/2006/relationships/hyperlink" Target="https://login.consultant.ru/link/?req=doc&amp;base=LAW&amp;n=483237&amp;date=04.03.2025&amp;dst=100142&amp;field=134&amp;demo=2" TargetMode = "External"/>
	<Relationship Id="rId27" Type="http://schemas.openxmlformats.org/officeDocument/2006/relationships/hyperlink" Target="https://login.consultant.ru/link/?req=doc&amp;base=LAW&amp;n=482692&amp;date=04.03.2025&amp;dst=100212&amp;field=134&amp;demo=2" TargetMode = "External"/>
	<Relationship Id="rId28" Type="http://schemas.openxmlformats.org/officeDocument/2006/relationships/hyperlink" Target="https://login.consultant.ru/link/?req=doc&amp;base=LAW&amp;n=482834&amp;date=04.03.2025&amp;dst=100276&amp;field=134&amp;demo=2" TargetMode = "External"/>
	<Relationship Id="rId29" Type="http://schemas.openxmlformats.org/officeDocument/2006/relationships/hyperlink" Target="https://login.consultant.ru/link/?req=doc&amp;base=LAW&amp;n=482692&amp;date=04.03.2025&amp;dst=100162&amp;field=134&amp;demo=2" TargetMode = "External"/>
	<Relationship Id="rId30" Type="http://schemas.openxmlformats.org/officeDocument/2006/relationships/hyperlink" Target="https://login.consultant.ru/link/?req=doc&amp;base=LAW&amp;n=2875&amp;date=04.03.2025&amp;dst=100134&amp;field=134&amp;demo=2" TargetMode = "External"/>
	<Relationship Id="rId31" Type="http://schemas.openxmlformats.org/officeDocument/2006/relationships/hyperlink" Target="https://login.consultant.ru/link/?req=doc&amp;base=LAW&amp;n=2875&amp;date=04.03.2025&amp;dst=100209&amp;field=134&amp;demo=2" TargetMode = "External"/>
	<Relationship Id="rId32" Type="http://schemas.openxmlformats.org/officeDocument/2006/relationships/hyperlink" Target="https://login.consultant.ru/link/?req=doc&amp;base=LAW&amp;n=101359&amp;date=04.03.2025&amp;demo=2" TargetMode = "External"/>
	<Relationship Id="rId33" Type="http://schemas.openxmlformats.org/officeDocument/2006/relationships/hyperlink" Target="https://login.consultant.ru/link/?req=doc&amp;base=LAW&amp;n=42337&amp;date=04.03.2025&amp;demo=2" TargetMode = "External"/>
	<Relationship Id="rId34" Type="http://schemas.openxmlformats.org/officeDocument/2006/relationships/hyperlink" Target="https://login.consultant.ru/link/?req=doc&amp;base=LAW&amp;n=145807&amp;date=04.03.2025&amp;demo=2" TargetMode = "External"/>
	<Relationship Id="rId35" Type="http://schemas.openxmlformats.org/officeDocument/2006/relationships/hyperlink" Target="https://login.consultant.ru/link/?req=doc&amp;base=LAW&amp;n=482692&amp;date=04.03.2025&amp;dst=100212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Росреестра от 14.02.2025 N 14-1325-ТГ/25
&lt;О заключении законными представителями несовершеннолетних с близкими родственниками несовершеннолетних возмездных сделок по приобретению такими несовершеннолетними недвижимого имущества&gt;
(вместе с &lt;Письмом&gt; Минпросвещения России от 11.02.2025 N АБ-426/07 "О направлении информации")</dc:title>
  <dcterms:created xsi:type="dcterms:W3CDTF">2025-03-04T15:44:26Z</dcterms:created>
</cp:coreProperties>
</file>