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ПИСЬМО</w:t>
      </w:r>
    </w:p>
    <w:p>
      <w:pPr>
        <w:pStyle w:val="2"/>
        <w:jc w:val="center"/>
      </w:pPr>
      <w:r>
        <w:rPr>
          <w:sz w:val="24"/>
        </w:rPr>
        <w:t xml:space="preserve">от 17 марта 2025 г. N 6938-ОГ/00</w:t>
      </w:r>
    </w:p>
    <w:p>
      <w:pPr>
        <w:pStyle w:val="0"/>
        <w:jc w:val="center"/>
      </w:pPr>
      <w:r>
        <w:rPr>
          <w:sz w:val="24"/>
        </w:rPr>
      </w:r>
    </w:p>
    <w:p>
      <w:pPr>
        <w:pStyle w:val="0"/>
        <w:ind w:firstLine="540"/>
        <w:jc w:val="both"/>
      </w:pPr>
      <w:r>
        <w:rPr>
          <w:sz w:val="24"/>
        </w:rPr>
        <w:t xml:space="preserve">Департамент развития жилищно-коммунального хозяйства Минстроя России рассмотрел обращение, направленное письмом Минприроды России, и сообщает следующее.</w:t>
      </w:r>
    </w:p>
    <w:p>
      <w:pPr>
        <w:pStyle w:val="0"/>
        <w:spacing w:before="240" w:line-rule="auto"/>
        <w:ind w:firstLine="540"/>
        <w:jc w:val="both"/>
      </w:pPr>
      <w:hyperlink w:history="0"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принята всенародным голосованием 12 декабря 1993 г. Официальный текст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опубликован на Официальном интернет-портале правовой информации </w:t>
      </w:r>
      <w:hyperlink w:history="0" r:id="rId8">
        <w:r>
          <w:rPr>
            <w:sz w:val="24"/>
            <w:color w:val="0000ff"/>
          </w:rPr>
          <w:t xml:space="preserve">http://www.pravo.gov.ru</w:t>
        </w:r>
      </w:hyperlink>
      <w:r>
        <w:rPr>
          <w:sz w:val="24"/>
        </w:rPr>
        <w:t xml:space="preserve">.</w:t>
      </w:r>
    </w:p>
    <w:p>
      <w:pPr>
        <w:pStyle w:val="0"/>
        <w:spacing w:before="240" w:line-rule="auto"/>
        <w:ind w:firstLine="540"/>
        <w:jc w:val="both"/>
      </w:pPr>
      <w:r>
        <w:rPr>
          <w:sz w:val="24"/>
        </w:rPr>
        <w:t xml:space="preserve">Одновременно прекратила действие </w:t>
      </w:r>
      <w:hyperlink w:history="0" r:id="rId9" w:tooltip="&quot;Конституция (Основной Закон) Союза Советских Социалистических Республик&quot; (принята ВС СССР 07.10.1977) (ред. от 14.03.1990) {КонсультантПлюс}">
        <w:r>
          <w:rPr>
            <w:sz w:val="24"/>
            <w:color w:val="0000ff"/>
          </w:rPr>
          <w:t xml:space="preserve">Конституция</w:t>
        </w:r>
      </w:hyperlink>
      <w:r>
        <w:rPr>
          <w:sz w:val="24"/>
        </w:rPr>
        <w:t xml:space="preserve"> СССР 1977 г., введенная в действие </w:t>
      </w:r>
      <w:hyperlink w:history="0" r:id="rId10" w:tooltip="Закон СССР от 07.10.1977 &quot;О порядке введения в действие Конституции (Основного Закона) СССР&quot; {КонсультантПлюс}">
        <w:r>
          <w:rPr>
            <w:sz w:val="24"/>
            <w:color w:val="0000ff"/>
          </w:rPr>
          <w:t xml:space="preserve">Законом</w:t>
        </w:r>
      </w:hyperlink>
      <w:r>
        <w:rPr>
          <w:sz w:val="24"/>
        </w:rPr>
        <w:t xml:space="preserve"> СССР от 7 октября 1977 г. N 6367-IX "О порядке введения в действие Конституции (Основного Закона) СССР", а также </w:t>
      </w:r>
      <w:hyperlink w:history="0" r:id="rId11" w:tooltip="&quot;Конституция (Основной Закон) Российской Федерации - России&quot; (принята ВС РСФСР 12.04.1978) (ред. от 10.12.1992) ------------ Утратил силу или отменен {КонсультантПлюс}">
        <w:r>
          <w:rPr>
            <w:sz w:val="24"/>
            <w:color w:val="0000ff"/>
          </w:rPr>
          <w:t xml:space="preserve">Конституция</w:t>
        </w:r>
      </w:hyperlink>
      <w:r>
        <w:rPr>
          <w:sz w:val="24"/>
        </w:rPr>
        <w:t xml:space="preserve"> РСФСР, принятая 12 апреля 1978 года, с последующими изменениями и дополнениями.</w:t>
      </w:r>
    </w:p>
    <w:p>
      <w:pPr>
        <w:pStyle w:val="0"/>
        <w:spacing w:before="240" w:line-rule="auto"/>
        <w:ind w:firstLine="540"/>
        <w:jc w:val="both"/>
      </w:pPr>
      <w:r>
        <w:rPr>
          <w:sz w:val="24"/>
        </w:rPr>
        <w:t xml:space="preserve">8 декабря 1991 года лидерами трех республик - основателей Союза Советских Социалистических Республик подписано Беловежское </w:t>
      </w:r>
      <w:hyperlink w:history="0" r:id="rId12" w:tooltip="Постановление ВС РФ от 12.12.1991 N 2014-1 &quot;О ратификации Соглашения о создании Содружества Независимых Государств&quot; (вместе с Соглашением от 08.12.1991 &quot;О создании Содружества Независимых Государств&quot;, Протоколом от 21.12.1991, &quot;Соглашением о координационных институтах Содружества Независимых Государств&quot;, &quot;Протоколом совещания глав независимых государств&quot;, решением Совета глав государств Содружества Независимых Государств от 21.12.1991, &quot;Соглашением о совместных мерах в отношении ядерного оружия&quot;, &quot;Алма-Атин {КонсультантПлюс}">
        <w:r>
          <w:rPr>
            <w:sz w:val="24"/>
            <w:color w:val="0000ff"/>
          </w:rPr>
          <w:t xml:space="preserve">соглашение</w:t>
        </w:r>
      </w:hyperlink>
      <w:r>
        <w:rPr>
          <w:sz w:val="24"/>
        </w:rPr>
        <w:t xml:space="preserve"> о создании Содружества Независимых Государств (СНГ). 26 декабря 1991 года Совет Республик Верховного Совета СССР принял </w:t>
      </w:r>
      <w:hyperlink w:history="0" r:id="rId13" w:tooltip="Декларация Совета Республик ВС СССР от 26.12.1991 N 142-Н &quot;В связи с созданием Содружества Независимых Государств&quot; {КонсультантПлюс}">
        <w:r>
          <w:rPr>
            <w:sz w:val="24"/>
            <w:color w:val="0000ff"/>
          </w:rPr>
          <w:t xml:space="preserve">декларацию</w:t>
        </w:r>
      </w:hyperlink>
      <w:r>
        <w:rPr>
          <w:sz w:val="24"/>
        </w:rPr>
        <w:t xml:space="preserve"> о прекращении существования СССР.</w:t>
      </w:r>
    </w:p>
    <w:p>
      <w:pPr>
        <w:pStyle w:val="0"/>
        <w:spacing w:before="240" w:line-rule="auto"/>
        <w:ind w:firstLine="540"/>
        <w:jc w:val="both"/>
      </w:pPr>
      <w:hyperlink w:history="0" r:id="rId14" w:tooltip="Закон РСФСР от 25.12.1991 N 2094-1 &quot;Об изменении наименования государства Российская Советская Федеративная Социалистическая Республика&quot; {КонсультантПлюс}">
        <w:r>
          <w:rPr>
            <w:sz w:val="24"/>
            <w:color w:val="0000ff"/>
          </w:rPr>
          <w:t xml:space="preserve">Законом</w:t>
        </w:r>
      </w:hyperlink>
      <w:r>
        <w:rPr>
          <w:sz w:val="24"/>
        </w:rPr>
        <w:t xml:space="preserve"> Российской Советской Федеративной Социалистической Республики от 25 декабря 1991 г. N 2094-1 "Об изменении наименования государства Российская Советская Федеративная Социалистическая Республика" Российская Советская Федеративная Социалистическая Республика (РСФСР) переименована в Российскую Федерацию (Россию).</w:t>
      </w:r>
    </w:p>
    <w:p>
      <w:pPr>
        <w:pStyle w:val="0"/>
        <w:spacing w:before="240" w:line-rule="auto"/>
        <w:ind w:firstLine="540"/>
        <w:jc w:val="both"/>
      </w:pPr>
      <w:hyperlink w:history="0" r:id="rId15" w:tooltip="Федеральный закон от 05.05.2014 N 99-ФЗ (ред. от 24.07.2023) &quot;О внесении изменений в главу 4 части первой Гражданского кодекса Российской Федерации и о признании утратившими силу отдельных положений законодательных актов Российской Федерации&quot; {КонсультантПлюс}">
        <w:r>
          <w:rPr>
            <w:sz w:val="24"/>
            <w:color w:val="0000ff"/>
          </w:rPr>
          <w:t xml:space="preserve">Часть 4 статьи 3</w:t>
        </w:r>
      </w:hyperlink>
      <w:r>
        <w:rPr>
          <w:sz w:val="24"/>
        </w:rPr>
        <w:t xml:space="preserve"> Федерального закона от 5 мая 2014 г. N 99-ФЗ "О внесении изменений в главу 4 части первой Гражданского кодекса Российской Федерации и о признании утратившими силу отдельных положений законодательных актов Российской Федерации" устанавливает, что впредь до приведения законодательных и иных нормативных правовых актов, действующих на территории Российской Федерации, в соответствие с положениями Гражданского </w:t>
      </w:r>
      <w:hyperlink w:history="0" r:id="rId16" w:tooltip="&quot;Гражданский кодекс Российской Федерации (часть первая)&quot; от 30.11.1994 N 51-ФЗ (ред. от 08.08.2024, с изм. от 31.10.2024) {КонсультантПлюс}">
        <w:r>
          <w:rPr>
            <w:sz w:val="24"/>
            <w:color w:val="0000ff"/>
          </w:rPr>
          <w:t xml:space="preserve">кодекса</w:t>
        </w:r>
      </w:hyperlink>
      <w:r>
        <w:rPr>
          <w:sz w:val="24"/>
        </w:rPr>
        <w:t xml:space="preserve"> Российской Федерации (далее - ГК РФ) законодательные и иные нормативные правовые акты Российской Федерации, а также акты законодательства Союза ССР, действующие на территории Российской Федерации в пределах и в порядке, которые предусмотрены законодательством Российской Федерации, применяются постольку, поскольку они не противоречат положениям </w:t>
      </w:r>
      <w:hyperlink w:history="0" r:id="rId17" w:tooltip="&quot;Гражданский кодекс Российской Федерации (часть первая)&quot; от 30.11.1994 N 51-ФЗ (ред. от 08.08.2024, с изм. от 31.10.2024) {КонсультантПлюс}">
        <w:r>
          <w:rPr>
            <w:sz w:val="24"/>
            <w:color w:val="0000ff"/>
          </w:rPr>
          <w:t xml:space="preserve">ГК</w:t>
        </w:r>
      </w:hyperlink>
      <w:r>
        <w:rPr>
          <w:sz w:val="24"/>
        </w:rPr>
        <w:t xml:space="preserve"> РФ.</w:t>
      </w:r>
    </w:p>
    <w:p>
      <w:pPr>
        <w:pStyle w:val="0"/>
        <w:spacing w:before="240" w:line-rule="auto"/>
        <w:ind w:firstLine="540"/>
        <w:jc w:val="both"/>
      </w:pPr>
      <w:r>
        <w:rPr>
          <w:sz w:val="24"/>
        </w:rPr>
        <w:t xml:space="preserve">Таким образом, законодательство Союза Советских Социалистических Республик в полном объеме не применяется на территории Российской Федерации. Законодательные и иные нормативные правовые акты Российской Федерации, а также акты законодательства СССР, действующие на территории Российской Федерации в пределах и в порядке, предусмотренным законодательством Российской Федерации, применяются в случае, если они не противоречат положениям </w:t>
      </w:r>
      <w:hyperlink w:history="0" r:id="rId18" w:tooltip="&quot;Гражданский кодекс Российской Федерации (часть первая)&quot; от 30.11.1994 N 51-ФЗ (ред. от 08.08.2024, с изм. от 31.10.2024) {КонсультантПлюс}">
        <w:r>
          <w:rPr>
            <w:sz w:val="24"/>
            <w:color w:val="0000ff"/>
          </w:rPr>
          <w:t xml:space="preserve">ГК</w:t>
        </w:r>
      </w:hyperlink>
      <w:r>
        <w:rPr>
          <w:sz w:val="24"/>
        </w:rPr>
        <w:t xml:space="preserve"> РФ и иных нормативных правовых актов Российской Федерации.</w:t>
      </w:r>
    </w:p>
    <w:p>
      <w:pPr>
        <w:pStyle w:val="0"/>
        <w:spacing w:before="240" w:line-rule="auto"/>
        <w:ind w:firstLine="540"/>
        <w:jc w:val="both"/>
      </w:pPr>
      <w:r>
        <w:rPr>
          <w:sz w:val="24"/>
        </w:rPr>
        <w:t xml:space="preserve">Понятия "гражданин" и "физическое лицо" применяются в </w:t>
      </w:r>
      <w:hyperlink w:history="0" r:id="rId19" w:tooltip="&quot;Гражданский кодекс Российской Федерации (часть первая)&quot; от 30.11.1994 N 51-ФЗ (ред. от 08.08.2024, с изм. от 31.10.2024) {КонсультантПлюс}">
        <w:r>
          <w:rPr>
            <w:sz w:val="24"/>
            <w:color w:val="0000ff"/>
          </w:rPr>
          <w:t xml:space="preserve">ГК</w:t>
        </w:r>
      </w:hyperlink>
      <w:r>
        <w:rPr>
          <w:sz w:val="24"/>
        </w:rPr>
        <w:t xml:space="preserve"> РФ как равнозначные понятия.</w:t>
      </w:r>
    </w:p>
    <w:p>
      <w:pPr>
        <w:pStyle w:val="0"/>
        <w:spacing w:before="240" w:line-rule="auto"/>
        <w:ind w:firstLine="540"/>
        <w:jc w:val="both"/>
      </w:pPr>
      <w:r>
        <w:rPr>
          <w:sz w:val="24"/>
        </w:rPr>
        <w:t xml:space="preserve">Согласно </w:t>
      </w:r>
      <w:hyperlink w:history="0" r:id="rId20"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пункту 1 статьи 17</w:t>
        </w:r>
      </w:hyperlink>
      <w:r>
        <w:rPr>
          <w:sz w:val="24"/>
        </w:rPr>
        <w:t xml:space="preserve"> ГК РФ в равной мере за всеми гражданами признается гражданская правоспособность, то есть способность иметь гражданские права и нести обязанности.</w:t>
      </w:r>
    </w:p>
    <w:p>
      <w:pPr>
        <w:pStyle w:val="0"/>
        <w:spacing w:before="240" w:line-rule="auto"/>
        <w:ind w:firstLine="540"/>
        <w:jc w:val="both"/>
      </w:pPr>
      <w:hyperlink w:history="0" r:id="rId2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17</w:t>
        </w:r>
      </w:hyperlink>
      <w:r>
        <w:rPr>
          <w:sz w:val="24"/>
        </w:rPr>
        <w:t xml:space="preserve"> Жилищного кодекса Российской Федерации (далее - ЖК РФ) установлено, что жилое помещение предназначено для проживания граждан.</w:t>
      </w:r>
    </w:p>
    <w:p>
      <w:pPr>
        <w:pStyle w:val="0"/>
        <w:spacing w:before="240" w:line-rule="auto"/>
        <w:ind w:firstLine="540"/>
        <w:jc w:val="both"/>
      </w:pPr>
      <w:hyperlink w:history="0" r:id="rId2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 статьи 17</w:t>
        </w:r>
      </w:hyperlink>
      <w:r>
        <w:rPr>
          <w:sz w:val="24"/>
        </w:rPr>
        <w:t xml:space="preserve"> ЖК РФ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требования, которым должно отвечать жилое помещение.</w:t>
      </w:r>
    </w:p>
    <w:p>
      <w:pPr>
        <w:pStyle w:val="0"/>
        <w:spacing w:before="240" w:line-rule="auto"/>
        <w:ind w:firstLine="540"/>
        <w:jc w:val="both"/>
      </w:pPr>
      <w:r>
        <w:rPr>
          <w:sz w:val="24"/>
        </w:rPr>
        <w:t xml:space="preserve">При этом в силу </w:t>
      </w:r>
      <w:hyperlink w:history="0" r:id="rId2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4 статьи 17</w:t>
        </w:r>
      </w:hyperlink>
      <w:r>
        <w:rPr>
          <w:sz w:val="24"/>
        </w:rPr>
        <w:t xml:space="preserve"> ЖК РФ 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w:t>
      </w:r>
      <w:hyperlink w:history="0" r:id="rId24" w:tooltip="Приказ Минстроя России от 14.05.2021 N 292/пр &quot;Об утверждении правил пользования жилыми помещениями&quot; (Зарегистрировано в Минюсте России 08.09.2021 N 64942) {КонсультантПлюс}">
        <w:r>
          <w:rPr>
            <w:sz w:val="24"/>
            <w:color w:val="0000ff"/>
          </w:rPr>
          <w:t xml:space="preserve">правилами</w:t>
        </w:r>
      </w:hyperlink>
      <w:r>
        <w:rPr>
          <w:sz w:val="24"/>
        </w:rPr>
        <w:t xml:space="preserve"> пользования жилыми помещениями, утвержденными приказом Минстроя России от 14 мая 2021 г. N 292/пр.</w:t>
      </w:r>
    </w:p>
    <w:p>
      <w:pPr>
        <w:pStyle w:val="0"/>
        <w:spacing w:before="240" w:line-rule="auto"/>
        <w:ind w:firstLine="540"/>
        <w:jc w:val="both"/>
      </w:pPr>
      <w:r>
        <w:rPr>
          <w:sz w:val="24"/>
        </w:rPr>
        <w:t xml:space="preserve">Таким образом, под правом пользования жилым помещением следует понимать, в частности, право на проживание в таком помещении, а также на использование жилого помещения в предусмотренных случаях проживающими в нем на законных основаниях гражданами для осуществления профессиональной или индивидуальной предпринимательской деятельности.</w:t>
      </w:r>
    </w:p>
    <w:p>
      <w:pPr>
        <w:pStyle w:val="0"/>
        <w:spacing w:before="240" w:line-rule="auto"/>
        <w:ind w:firstLine="540"/>
        <w:jc w:val="both"/>
      </w:pPr>
      <w:r>
        <w:rPr>
          <w:sz w:val="24"/>
        </w:rPr>
        <w:t xml:space="preserve">В силу </w:t>
      </w:r>
      <w:hyperlink w:history="0" r:id="rId2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30</w:t>
        </w:r>
      </w:hyperlink>
      <w:r>
        <w:rPr>
          <w:sz w:val="24"/>
        </w:rPr>
        <w:t xml:space="preserve"> ЖК РФ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w:t>
      </w:r>
      <w:hyperlink w:history="0" r:id="rId2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w:t>
      </w:r>
    </w:p>
    <w:p>
      <w:pPr>
        <w:pStyle w:val="0"/>
        <w:spacing w:before="240" w:line-rule="auto"/>
        <w:ind w:firstLine="540"/>
        <w:jc w:val="both"/>
      </w:pPr>
      <w:r>
        <w:rPr>
          <w:sz w:val="24"/>
        </w:rPr>
        <w:t xml:space="preserve">Согласно </w:t>
      </w:r>
      <w:hyperlink w:history="0" r:id="rId2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31</w:t>
        </w:r>
      </w:hyperlink>
      <w:r>
        <w:rPr>
          <w:sz w:val="24"/>
        </w:rPr>
        <w:t xml:space="preserve"> ЖК РФ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w:t>
      </w:r>
    </w:p>
    <w:p>
      <w:pPr>
        <w:pStyle w:val="0"/>
        <w:spacing w:before="240" w:line-rule="auto"/>
        <w:ind w:firstLine="540"/>
        <w:jc w:val="both"/>
      </w:pPr>
      <w:r>
        <w:rPr>
          <w:sz w:val="24"/>
        </w:rPr>
        <w:t xml:space="preserve">На основании </w:t>
      </w:r>
      <w:hyperlink w:history="0" r:id="rId2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60</w:t>
        </w:r>
      </w:hyperlink>
      <w:r>
        <w:rPr>
          <w:sz w:val="24"/>
        </w:rPr>
        <w:t xml:space="preserve"> ЖК РФ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w:t>
      </w:r>
      <w:hyperlink w:history="0" r:id="rId2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w:t>
      </w:r>
    </w:p>
    <w:p>
      <w:pPr>
        <w:pStyle w:val="0"/>
        <w:spacing w:before="240" w:line-rule="auto"/>
        <w:ind w:firstLine="540"/>
        <w:jc w:val="both"/>
      </w:pPr>
      <w:r>
        <w:rPr>
          <w:sz w:val="24"/>
        </w:rPr>
        <w:t xml:space="preserve">В силу </w:t>
      </w:r>
      <w:hyperlink w:history="0" r:id="rId3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61</w:t>
        </w:r>
      </w:hyperlink>
      <w:r>
        <w:rPr>
          <w:sz w:val="24"/>
        </w:rPr>
        <w:t xml:space="preserve"> ЖК РФ пользование жилым помещением по договору социального найма осуществляется в соответствии с </w:t>
      </w:r>
      <w:hyperlink w:history="0" r:id="rId3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договором социального найма данного жилого помещения.</w:t>
      </w:r>
    </w:p>
    <w:p>
      <w:pPr>
        <w:pStyle w:val="0"/>
        <w:spacing w:before="240" w:line-rule="auto"/>
        <w:ind w:firstLine="540"/>
        <w:jc w:val="both"/>
      </w:pPr>
      <w:r>
        <w:rPr>
          <w:sz w:val="24"/>
        </w:rPr>
        <w:t xml:space="preserve">Согласно </w:t>
      </w:r>
      <w:hyperlink w:history="0" r:id="rId3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2 статьи 69</w:t>
        </w:r>
      </w:hyperlink>
      <w:r>
        <w:rPr>
          <w:sz w:val="24"/>
        </w:rPr>
        <w:t xml:space="preserve"> ЖК РФ члены семьи нанимателя жилого помещения по договору социального найма имеют равные с нанимателем права и обязанности.</w:t>
      </w:r>
    </w:p>
    <w:p>
      <w:pPr>
        <w:pStyle w:val="0"/>
        <w:spacing w:before="240" w:line-rule="auto"/>
        <w:ind w:firstLine="540"/>
        <w:jc w:val="both"/>
      </w:pPr>
      <w:r>
        <w:rPr>
          <w:sz w:val="24"/>
        </w:rPr>
        <w:t xml:space="preserve">Таким образом, пользователем жилого помещения признается собственник такого помещения, члены его семьи, наниматель жилого помещения в многоквартирном доме по договору социального найма данного жилого помещения, члены его семьи.</w:t>
      </w:r>
    </w:p>
    <w:p>
      <w:pPr>
        <w:pStyle w:val="0"/>
        <w:spacing w:before="240" w:line-rule="auto"/>
        <w:ind w:firstLine="540"/>
        <w:jc w:val="both"/>
      </w:pPr>
      <w:r>
        <w:rPr>
          <w:sz w:val="24"/>
        </w:rPr>
        <w:t xml:space="preserve">В силу </w:t>
      </w:r>
      <w:hyperlink w:history="0" r:id="rId3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1.1 статьи 157</w:t>
        </w:r>
      </w:hyperlink>
      <w:r>
        <w:rPr>
          <w:sz w:val="24"/>
        </w:rPr>
        <w:t xml:space="preserve"> ЖК РФ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особенности предоставления отдельных видов коммунальных услуг собственникам и пользователям помещений в многоквартирных домах и жилых домов, условия и порядок заключения соответствующих договоров устанавливаются Правительством Российской Федерации.</w:t>
      </w:r>
    </w:p>
    <w:p>
      <w:pPr>
        <w:pStyle w:val="0"/>
        <w:spacing w:before="240" w:line-rule="auto"/>
        <w:ind w:firstLine="540"/>
        <w:jc w:val="both"/>
      </w:pPr>
      <w:r>
        <w:rPr>
          <w:sz w:val="24"/>
        </w:rPr>
        <w:t xml:space="preserve">Во исполнение приведенного </w:t>
      </w:r>
      <w:hyperlink w:history="0" r:id="rId3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положения</w:t>
        </w:r>
      </w:hyperlink>
      <w:r>
        <w:rPr>
          <w:sz w:val="24"/>
        </w:rPr>
        <w:t xml:space="preserve"> постановлением Правительства Российской Федерации от 6 мая 2011 г. N 354 утверждены </w:t>
      </w:r>
      <w:hyperlink w:history="0" r:id="rId35"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w:t>
        </w:r>
      </w:hyperlink>
      <w:r>
        <w:rPr>
          <w:sz w:val="24"/>
        </w:rPr>
        <w:t xml:space="preserve"> предоставления коммунальных услуг собственникам и пользователям помещений в многоквартирных домах и жилых домов (далее - Правила N 354).</w:t>
      </w:r>
    </w:p>
    <w:p>
      <w:pPr>
        <w:pStyle w:val="0"/>
        <w:spacing w:before="240" w:line-rule="auto"/>
        <w:ind w:firstLine="540"/>
        <w:jc w:val="both"/>
      </w:pPr>
      <w:hyperlink w:history="0" r:id="rId3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2</w:t>
        </w:r>
      </w:hyperlink>
      <w:r>
        <w:rPr>
          <w:sz w:val="24"/>
        </w:rPr>
        <w:t xml:space="preserve"> Правил N 354 термин "коммунальные услуги" определен как осуществление деятельности исполнителя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установленных </w:t>
      </w:r>
      <w:hyperlink w:history="0" r:id="rId37"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pPr>
        <w:pStyle w:val="0"/>
        <w:spacing w:before="240" w:line-rule="auto"/>
        <w:ind w:firstLine="540"/>
        <w:jc w:val="both"/>
      </w:pPr>
      <w:hyperlink w:history="0" r:id="rId3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4</w:t>
        </w:r>
      </w:hyperlink>
      <w:r>
        <w:rPr>
          <w:sz w:val="24"/>
        </w:rPr>
        <w:t xml:space="preserve"> Правил N 354 установлен перечень коммунальных услуг, к которым отнесены холодное водоснабжение, горячее водоснабжение, водоотведение (отведение сточных вод), электроснабжение, газоснабжение, отопление, обращение с твердыми коммунальными отходами.</w:t>
      </w:r>
    </w:p>
    <w:p>
      <w:pPr>
        <w:pStyle w:val="0"/>
        <w:spacing w:before="240" w:line-rule="auto"/>
        <w:ind w:firstLine="540"/>
        <w:jc w:val="both"/>
      </w:pPr>
      <w:r>
        <w:rPr>
          <w:sz w:val="24"/>
        </w:rPr>
        <w:t xml:space="preserve">Термин "потребитель" определен </w:t>
      </w:r>
      <w:hyperlink w:history="0" r:id="rId39"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2</w:t>
        </w:r>
      </w:hyperlink>
      <w:r>
        <w:rPr>
          <w:sz w:val="24"/>
        </w:rPr>
        <w:t xml:space="preserve"> Правил N 354 как собственник помещения в многоквартирном доме, жилого дома, домовладения, а также лицо, пользующееся на ином законном основании помещением в многоквартирном доме, жилым домом, домовладением, потребляющее коммунальные услуги.</w:t>
      </w:r>
    </w:p>
    <w:p>
      <w:pPr>
        <w:pStyle w:val="0"/>
        <w:spacing w:before="240" w:line-rule="auto"/>
        <w:ind w:firstLine="540"/>
        <w:jc w:val="both"/>
      </w:pPr>
      <w:r>
        <w:rPr>
          <w:sz w:val="24"/>
        </w:rPr>
        <w:t xml:space="preserve">Следовательно, потребителем коммунальных услуг может быть собственник или иной пользователь помещения.</w:t>
      </w:r>
    </w:p>
    <w:p>
      <w:pPr>
        <w:pStyle w:val="0"/>
        <w:spacing w:before="240" w:line-rule="auto"/>
        <w:ind w:firstLine="540"/>
        <w:jc w:val="both"/>
      </w:pPr>
      <w:r>
        <w:rPr>
          <w:sz w:val="24"/>
        </w:rPr>
        <w:t xml:space="preserve">Таким образом, законом утвержден исчерпывающий перечень коммунальных услуг, определены понятия "коммунальная услуга" и "потребитель коммунальных услуг", при этом термин "пользователь коммунальной услуги" законом не определен и не подлежит применению.</w:t>
      </w:r>
    </w:p>
    <w:p>
      <w:pPr>
        <w:pStyle w:val="0"/>
        <w:spacing w:before="240" w:line-rule="auto"/>
        <w:ind w:firstLine="540"/>
        <w:jc w:val="both"/>
      </w:pPr>
      <w:r>
        <w:rPr>
          <w:sz w:val="24"/>
        </w:rPr>
        <w:t xml:space="preserve">В соответствии со </w:t>
      </w:r>
      <w:hyperlink w:history="0" r:id="rId40"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статьей 210</w:t>
        </w:r>
      </w:hyperlink>
      <w:r>
        <w:rPr>
          <w:sz w:val="24"/>
        </w:rPr>
        <w:t xml:space="preserve"> ГК РФ собственник несет бремя содержания принадлежащего ему имущества, если иное не предусмотрено законом или договором. В соответствии со </w:t>
      </w:r>
      <w:hyperlink w:history="0" r:id="rId4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статьями 30</w:t>
        </w:r>
      </w:hyperlink>
      <w:r>
        <w:rPr>
          <w:sz w:val="24"/>
        </w:rPr>
        <w:t xml:space="preserve">, </w:t>
      </w:r>
      <w:hyperlink w:history="0" r:id="rId4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39</w:t>
        </w:r>
      </w:hyperlink>
      <w:r>
        <w:rPr>
          <w:sz w:val="24"/>
        </w:rPr>
        <w:t xml:space="preserve">, </w:t>
      </w:r>
      <w:hyperlink w:history="0" r:id="rId4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154</w:t>
        </w:r>
      </w:hyperlink>
      <w:r>
        <w:rPr>
          <w:sz w:val="24"/>
        </w:rPr>
        <w:t xml:space="preserve">, </w:t>
      </w:r>
      <w:hyperlink w:history="0" r:id="rId4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158</w:t>
        </w:r>
      </w:hyperlink>
      <w:r>
        <w:rPr>
          <w:sz w:val="24"/>
        </w:rPr>
        <w:t xml:space="preserve"> ЖК РФ собственник помещения в многоквартирном доме обязан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pPr>
        <w:pStyle w:val="0"/>
        <w:spacing w:before="240" w:line-rule="auto"/>
        <w:ind w:firstLine="540"/>
        <w:jc w:val="both"/>
      </w:pPr>
      <w:r>
        <w:rPr>
          <w:sz w:val="24"/>
        </w:rPr>
        <w:t xml:space="preserve">Согласно </w:t>
      </w:r>
      <w:hyperlink w:history="0" r:id="rId4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1 статьи 38</w:t>
        </w:r>
      </w:hyperlink>
      <w:r>
        <w:rPr>
          <w:sz w:val="24"/>
        </w:rPr>
        <w:t xml:space="preserve"> ЖК РФ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pPr>
        <w:pStyle w:val="0"/>
        <w:spacing w:before="240" w:line-rule="auto"/>
        <w:ind w:firstLine="540"/>
        <w:jc w:val="both"/>
      </w:pPr>
      <w:hyperlink w:history="0" r:id="rId4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153</w:t>
        </w:r>
      </w:hyperlink>
      <w:r>
        <w:rPr>
          <w:sz w:val="24"/>
        </w:rPr>
        <w:t xml:space="preserve"> ЖК РФ установлено, что граждане и организации обязаны своевременно и полностью вносить плату за жилое помещение и коммунальные услуги.</w:t>
      </w:r>
    </w:p>
    <w:p>
      <w:pPr>
        <w:pStyle w:val="0"/>
        <w:spacing w:before="240" w:line-rule="auto"/>
        <w:ind w:firstLine="540"/>
        <w:jc w:val="both"/>
      </w:pPr>
      <w:r>
        <w:rPr>
          <w:sz w:val="24"/>
        </w:rPr>
        <w:t xml:space="preserve">Рассматриваемая норма направлена на обеспечение баланса интересов потребителя и исполнителя, предоставляющего коммунальные услуги, не предусматривает возможности возложения на собственника жилого помещения обязанности по оплате услуг, не оказанных либо оказанных без законных оснований.</w:t>
      </w:r>
    </w:p>
    <w:p>
      <w:pPr>
        <w:pStyle w:val="0"/>
        <w:spacing w:before="240" w:line-rule="auto"/>
        <w:ind w:firstLine="540"/>
        <w:jc w:val="both"/>
      </w:pPr>
      <w:hyperlink w:history="0" r:id="rId4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154</w:t>
        </w:r>
      </w:hyperlink>
      <w:r>
        <w:rPr>
          <w:sz w:val="24"/>
        </w:rPr>
        <w:t xml:space="preserve"> ЖК РФ установлена структура платы за жилое помещение и коммунальные услуги.</w:t>
      </w:r>
    </w:p>
    <w:p>
      <w:pPr>
        <w:pStyle w:val="0"/>
        <w:spacing w:before="240" w:line-rule="auto"/>
        <w:ind w:firstLine="540"/>
        <w:jc w:val="both"/>
      </w:pPr>
      <w:r>
        <w:rPr>
          <w:sz w:val="24"/>
        </w:rPr>
        <w:t xml:space="preserve">Согласно </w:t>
      </w:r>
      <w:hyperlink w:history="0" r:id="rId48"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пункту 1 части 2 статьи 154</w:t>
        </w:r>
      </w:hyperlink>
      <w:r>
        <w:rPr>
          <w:sz w:val="24"/>
        </w:rPr>
        <w:t xml:space="preserve"> ЖК РФ плата за жилое помещение и коммунальные услуги для собственника помещения в многоквартирном доме включает в себя: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 взнос на капитальный ремонт; плату за коммунальные услуги.</w:t>
      </w:r>
    </w:p>
    <w:p>
      <w:pPr>
        <w:pStyle w:val="0"/>
        <w:spacing w:before="240" w:line-rule="auto"/>
        <w:ind w:firstLine="540"/>
        <w:jc w:val="both"/>
      </w:pPr>
      <w:r>
        <w:rPr>
          <w:sz w:val="24"/>
        </w:rPr>
        <w:t xml:space="preserve">В соответствии с </w:t>
      </w:r>
      <w:hyperlink w:history="0" r:id="rId4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156</w:t>
        </w:r>
      </w:hyperlink>
      <w:r>
        <w:rPr>
          <w:sz w:val="24"/>
        </w:rPr>
        <w:t xml:space="preserve"> ЖК РФ плата за содержание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 При этом размер платы за содержание и ремонт жилого помещения должен быть соразмерен утвержденному собственниками помещений многоквартирного дома перечню, объемам и качеству услуг и работ по содержанию конкретного дома, согласно </w:t>
      </w:r>
      <w:hyperlink w:history="0" r:id="rId50" w:tooltip="Постановление Правительства РФ от 13.08.2006 N 491 (ред. от 14.09.2024) &quot;Об утверждении Правил содержания общего имущества в многоквартирном доме и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quot; {КонсультантПлюс}">
        <w:r>
          <w:rPr>
            <w:sz w:val="24"/>
            <w:color w:val="0000ff"/>
          </w:rPr>
          <w:t xml:space="preserve">пункту 35</w:t>
        </w:r>
      </w:hyperlink>
      <w:r>
        <w:rPr>
          <w:sz w:val="24"/>
        </w:rPr>
        <w:t xml:space="preserve"> Правил содержания общего имущества в многоквартирном доме, утвержденных постановлением Правительства Российской Федерации от 13 августа 2006 г. N 491.</w:t>
      </w:r>
    </w:p>
    <w:p>
      <w:pPr>
        <w:pStyle w:val="0"/>
        <w:spacing w:before="240" w:line-rule="auto"/>
        <w:ind w:firstLine="540"/>
        <w:jc w:val="both"/>
      </w:pPr>
      <w:hyperlink w:history="0" r:id="rId5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158</w:t>
        </w:r>
      </w:hyperlink>
      <w:r>
        <w:rPr>
          <w:sz w:val="24"/>
        </w:rPr>
        <w:t xml:space="preserve"> ЖК РФ на собственника помещения в многоквартирном доме возложена обязанность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и взносов на капитальный ремонт.</w:t>
      </w:r>
    </w:p>
    <w:p>
      <w:pPr>
        <w:pStyle w:val="0"/>
        <w:spacing w:before="240" w:line-rule="auto"/>
        <w:ind w:firstLine="540"/>
        <w:jc w:val="both"/>
      </w:pPr>
      <w:r>
        <w:rPr>
          <w:sz w:val="24"/>
        </w:rPr>
        <w:t xml:space="preserve">В силу </w:t>
      </w:r>
      <w:hyperlink w:history="0" r:id="rId5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157</w:t>
        </w:r>
      </w:hyperlink>
      <w:r>
        <w:rPr>
          <w:sz w:val="24"/>
        </w:rPr>
        <w:t xml:space="preserve"> ЖК РФ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утверждаемых органами государственной власти субъектов Российской Федерации в порядке, установленном Правительством Российской Федерации. Таким образом, </w:t>
      </w:r>
      <w:hyperlink w:history="0" r:id="rId5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установлен приоритет определения объема потребленных коммунальных услуг исходя из показаний приборов учета над нормативом коммунальных услуг.</w:t>
      </w:r>
    </w:p>
    <w:p>
      <w:pPr>
        <w:pStyle w:val="0"/>
        <w:spacing w:before="240" w:line-rule="auto"/>
        <w:ind w:firstLine="540"/>
        <w:jc w:val="both"/>
      </w:pPr>
      <w:r>
        <w:rPr>
          <w:sz w:val="24"/>
        </w:rPr>
        <w:t xml:space="preserve">Таким образом, собственники и наниматели жилого помещения, занимаемого по договору социального найма или договору найма жилого помещения государственного или муниципального жилищного фонда, обязаны вносить плату за жилищные и коммунальные услуги.</w:t>
      </w:r>
    </w:p>
    <w:p>
      <w:pPr>
        <w:pStyle w:val="0"/>
        <w:spacing w:before="240" w:line-rule="auto"/>
        <w:ind w:firstLine="540"/>
        <w:jc w:val="both"/>
      </w:pPr>
      <w:r>
        <w:rPr>
          <w:sz w:val="24"/>
        </w:rPr>
        <w:t xml:space="preserve">Требования к платежному документу установлены </w:t>
      </w:r>
      <w:hyperlink w:history="0" r:id="rId54"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69</w:t>
        </w:r>
      </w:hyperlink>
      <w:r>
        <w:rPr>
          <w:sz w:val="24"/>
        </w:rPr>
        <w:t xml:space="preserve"> Правил N 354.</w:t>
      </w:r>
    </w:p>
    <w:p>
      <w:pPr>
        <w:pStyle w:val="0"/>
        <w:spacing w:before="240" w:line-rule="auto"/>
        <w:ind w:firstLine="540"/>
        <w:jc w:val="both"/>
      </w:pPr>
      <w:r>
        <w:rPr>
          <w:sz w:val="24"/>
        </w:rPr>
        <w:t xml:space="preserve">В свою очередь, приказом Минстроя России от 26 января 2018 г. N 43/пр "Об утверждении примерной формы платежного документа для внесения платы за содержание и ремонт жилого помещения и предоставление коммунальных услуг" (далее - Приказ N 43/пр) утверждена примерная </w:t>
      </w:r>
      <w:hyperlink w:history="0" r:id="rId55" w:tooltip="Приказ Минстроя России от 26.01.2018 N 43/пр &quot;Об утверждении примерной формы платежного документа для внесения платы за содержание и ремонт жилого помещения и предоставление коммунальных услуг&quot; (Зарегистрировано в Минюсте России 14.05.2018 N 51074) {КонсультантПлюс}">
        <w:r>
          <w:rPr>
            <w:sz w:val="24"/>
            <w:color w:val="0000ff"/>
          </w:rPr>
          <w:t xml:space="preserve">форма</w:t>
        </w:r>
      </w:hyperlink>
      <w:r>
        <w:rPr>
          <w:sz w:val="24"/>
        </w:rPr>
        <w:t xml:space="preserve"> платежного документа для внесения платы за содержание и ремонт жилого помещения и предоставление коммунальных услуг.</w:t>
      </w:r>
    </w:p>
    <w:p>
      <w:pPr>
        <w:pStyle w:val="0"/>
        <w:spacing w:before="240" w:line-rule="auto"/>
        <w:ind w:firstLine="540"/>
        <w:jc w:val="both"/>
      </w:pPr>
      <w:r>
        <w:rPr>
          <w:sz w:val="24"/>
        </w:rPr>
        <w:t xml:space="preserve">Объем информации, предусмотренный </w:t>
      </w:r>
      <w:hyperlink w:history="0" r:id="rId56"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 и </w:t>
      </w:r>
      <w:hyperlink w:history="0" r:id="rId57" w:tooltip="Приказ Минстроя России от 26.01.2018 N 43/пр &quot;Об утверждении примерной формы платежного документа для внесения платы за содержание и ремонт жилого помещения и предоставление коммунальных услуг&quot; (Зарегистрировано в Минюсте России 14.05.2018 N 51074) {КонсультантПлюс}">
        <w:r>
          <w:rPr>
            <w:sz w:val="24"/>
            <w:color w:val="0000ff"/>
          </w:rPr>
          <w:t xml:space="preserve">Приказом</w:t>
        </w:r>
      </w:hyperlink>
      <w:r>
        <w:rPr>
          <w:sz w:val="24"/>
        </w:rPr>
        <w:t xml:space="preserve"> N 43/пр, к отображению в платежном документе обязателен. При этом исполнитель вправе указывать в платежном документе дополнительную информацию, не предусмотренную </w:t>
      </w:r>
      <w:hyperlink w:history="0" r:id="rId5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 </w:t>
      </w:r>
      <w:hyperlink w:history="0" r:id="rId59" w:tooltip="Приказ Минстроя России от 26.01.2018 N 43/пр &quot;Об утверждении примерной формы платежного документа для внесения платы за содержание и ремонт жилого помещения и предоставление коммунальных услуг&quot; (Зарегистрировано в Минюсте России 14.05.2018 N 51074) {КонсультантПлюс}">
        <w:r>
          <w:rPr>
            <w:sz w:val="24"/>
            <w:color w:val="0000ff"/>
          </w:rPr>
          <w:t xml:space="preserve">Приказом</w:t>
        </w:r>
      </w:hyperlink>
      <w:r>
        <w:rPr>
          <w:sz w:val="24"/>
        </w:rPr>
        <w:t xml:space="preserve"> N 43/пр.</w:t>
      </w:r>
    </w:p>
    <w:p>
      <w:pPr>
        <w:pStyle w:val="0"/>
        <w:spacing w:before="240" w:line-rule="auto"/>
        <w:ind w:firstLine="540"/>
        <w:jc w:val="both"/>
      </w:pPr>
      <w:r>
        <w:rPr>
          <w:sz w:val="24"/>
        </w:rPr>
        <w:t xml:space="preserve">Согласно </w:t>
      </w:r>
      <w:hyperlink w:history="0" r:id="rId60"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статье 435</w:t>
        </w:r>
      </w:hyperlink>
      <w:r>
        <w:rPr>
          <w:sz w:val="24"/>
        </w:rPr>
        <w:t xml:space="preserve"> ГК РФ офертой признается адресованное одному или нескольким конкретным лицам предложение, 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Для публичной оферты характерно ее публичное размещение.</w:t>
      </w:r>
    </w:p>
    <w:p>
      <w:pPr>
        <w:pStyle w:val="0"/>
        <w:spacing w:before="240" w:line-rule="auto"/>
        <w:ind w:firstLine="540"/>
        <w:jc w:val="both"/>
      </w:pPr>
      <w:r>
        <w:rPr>
          <w:sz w:val="24"/>
        </w:rPr>
        <w:t xml:space="preserve">Таким образом, платежный документ не является офертой, поскольку содержит состав платежа за жилищно-коммунальные услуги для конкретного потребителя.</w:t>
      </w:r>
    </w:p>
    <w:p>
      <w:pPr>
        <w:pStyle w:val="0"/>
        <w:spacing w:before="240" w:line-rule="auto"/>
        <w:ind w:firstLine="540"/>
        <w:jc w:val="both"/>
      </w:pPr>
      <w:r>
        <w:rPr>
          <w:sz w:val="24"/>
        </w:rPr>
        <w:t xml:space="preserve">Дополнительно отмечается, что в силу действующих положений законодательства на исполнителей услуг не возлагается обязанность проставления в платежных документах на оплату жилищно-коммунальных услуг ни подписей должностных лиц, ни печати организации.</w:t>
      </w:r>
    </w:p>
    <w:p>
      <w:pPr>
        <w:pStyle w:val="0"/>
        <w:spacing w:before="240" w:line-rule="auto"/>
        <w:ind w:firstLine="540"/>
        <w:jc w:val="both"/>
      </w:pPr>
      <w:hyperlink w:history="0" r:id="rId61"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15 статьи 155</w:t>
        </w:r>
      </w:hyperlink>
      <w:r>
        <w:rPr>
          <w:sz w:val="24"/>
        </w:rPr>
        <w:t xml:space="preserve"> ЖК РФ допускает возможность привлечения исполнителем услуг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законодательством о банках и банковской деятельности.</w:t>
      </w:r>
    </w:p>
    <w:p>
      <w:pPr>
        <w:pStyle w:val="0"/>
        <w:spacing w:before="240" w:line-rule="auto"/>
        <w:ind w:firstLine="540"/>
        <w:jc w:val="both"/>
      </w:pPr>
      <w:hyperlink w:history="0" r:id="rId6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Подпунктом "е" пункта 32</w:t>
        </w:r>
      </w:hyperlink>
      <w:r>
        <w:rPr>
          <w:sz w:val="24"/>
        </w:rPr>
        <w:t xml:space="preserve"> Правил N 354 установлено, что для начисления платы за коммунальные услуги, подготовки и доставки платежных документов исполнитель услуг вправе привлекать на основании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pPr>
        <w:pStyle w:val="0"/>
        <w:spacing w:before="240" w:line-rule="auto"/>
        <w:ind w:firstLine="540"/>
        <w:jc w:val="both"/>
      </w:pPr>
      <w:r>
        <w:rPr>
          <w:sz w:val="24"/>
        </w:rPr>
        <w:t xml:space="preserve">С данной нормой права корреспондируется требование, изложенное в </w:t>
      </w:r>
      <w:hyperlink w:history="0" r:id="rId63"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пункте 63</w:t>
        </w:r>
      </w:hyperlink>
      <w:r>
        <w:rPr>
          <w:sz w:val="24"/>
        </w:rPr>
        <w:t xml:space="preserve"> Правил N 354, которым установлено, что плата за коммунальные услуги вносится потребителями исполнителю услуг либо действующему по его поручению платежному агенту или банковскому платежному агенту.</w:t>
      </w:r>
    </w:p>
    <w:p>
      <w:pPr>
        <w:pStyle w:val="0"/>
        <w:spacing w:before="240" w:line-rule="auto"/>
        <w:ind w:firstLine="540"/>
        <w:jc w:val="both"/>
      </w:pPr>
      <w:r>
        <w:rPr>
          <w:sz w:val="24"/>
        </w:rPr>
        <w:t xml:space="preserve">Учитывая вышеизложенное, юридическое лицо, которому в соответствии с </w:t>
      </w:r>
      <w:hyperlink w:history="0" r:id="rId6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вносится плата за жилое помещение и коммунальные услуги, а также его представитель, вправе взимать плату за жилое помещение и коммунальные услуги как самостоятельно, так и с привлечением платежных агентов и банковских платежных агентов, при этом привлечение последних не является обязательным.</w:t>
      </w:r>
    </w:p>
    <w:p>
      <w:pPr>
        <w:pStyle w:val="0"/>
        <w:spacing w:before="240" w:line-rule="auto"/>
        <w:ind w:firstLine="540"/>
        <w:jc w:val="both"/>
      </w:pPr>
      <w:r>
        <w:rPr>
          <w:sz w:val="24"/>
        </w:rPr>
        <w:t xml:space="preserve">В соответствии с </w:t>
      </w:r>
      <w:hyperlink w:history="0" r:id="rId65" w:tooltip="Федеральный закон от 03.06.2009 N 103-ФЗ (ред. от 08.08.2024) &quot;О деятельности по приему платежей физических лиц, осуществляемой платежными агентами&quot; (с изм. и доп., вступ. в силу с 01.10.2024) {КонсультантПлюс}">
        <w:r>
          <w:rPr>
            <w:sz w:val="24"/>
            <w:color w:val="0000ff"/>
          </w:rPr>
          <w:t xml:space="preserve">частью 1 статьи 3</w:t>
        </w:r>
      </w:hyperlink>
      <w:r>
        <w:rPr>
          <w:sz w:val="24"/>
        </w:rPr>
        <w:t xml:space="preserve"> Федерального закона от 3 июня 2009 г. N 103-ФЗ "О деятельности по приему платежей физических лиц, осуществляемой платежными агентами" (далее - Закон N 103-ФЗ) под деятельностью по приему платежей физических лиц (далее - прием платежей) в целях указанного Федерального закона признается прием платежным агентом от плательщика наличных денежных средств, направленных на исполнение денежных обязательств перед поставщиком по оплате товаров (работ, услуг), в том числе внесение платы за жилое помещение и коммунальные услуги в соответствии с </w:t>
      </w:r>
      <w:hyperlink w:history="0" r:id="rId6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а также осуществление платежным агентом последующих расчетов с поставщиком.</w:t>
      </w:r>
    </w:p>
    <w:p>
      <w:pPr>
        <w:pStyle w:val="0"/>
        <w:spacing w:before="240" w:line-rule="auto"/>
        <w:ind w:firstLine="540"/>
        <w:jc w:val="both"/>
      </w:pPr>
      <w:r>
        <w:rPr>
          <w:sz w:val="24"/>
        </w:rPr>
        <w:t xml:space="preserve">Согласно </w:t>
      </w:r>
      <w:hyperlink w:history="0" r:id="rId67" w:tooltip="Федеральный закон от 03.06.2009 N 103-ФЗ (ред. от 08.08.2024) &quot;О деятельности по приему платежей физических лиц, осуществляемой платежными агентами&quot; (с изм. и доп., вступ. в силу с 01.10.2024) {КонсультантПлюс}">
        <w:r>
          <w:rPr>
            <w:sz w:val="24"/>
            <w:color w:val="0000ff"/>
          </w:rPr>
          <w:t xml:space="preserve">части 3 статьи 3</w:t>
        </w:r>
      </w:hyperlink>
      <w:r>
        <w:rPr>
          <w:sz w:val="24"/>
        </w:rPr>
        <w:t xml:space="preserve"> Закона N 103-ФЗ денежное обязательство физического лица перед поставщиком считается исполненным в размере внесенных платежному агенту наличных денежных средств, за исключением вознаграждения, с момента их передачи платежному агенту.</w:t>
      </w:r>
    </w:p>
    <w:p>
      <w:pPr>
        <w:pStyle w:val="0"/>
        <w:spacing w:before="240" w:line-rule="auto"/>
        <w:ind w:firstLine="540"/>
        <w:jc w:val="both"/>
      </w:pPr>
      <w:r>
        <w:rPr>
          <w:sz w:val="24"/>
        </w:rPr>
        <w:t xml:space="preserve">В силу </w:t>
      </w:r>
      <w:hyperlink w:history="0" r:id="rId68" w:tooltip="Федеральный закон от 03.06.2009 N 103-ФЗ (ред. от 08.08.2024) &quot;О деятельности по приему платежей физических лиц, осуществляемой платежными агентами&quot; (с изм. и доп., вступ. в силу с 01.10.2024) {КонсультантПлюс}">
        <w:r>
          <w:rPr>
            <w:sz w:val="24"/>
            <w:color w:val="0000ff"/>
          </w:rPr>
          <w:t xml:space="preserve">части 14 статьи 4</w:t>
        </w:r>
      </w:hyperlink>
      <w:r>
        <w:rPr>
          <w:sz w:val="24"/>
        </w:rPr>
        <w:t xml:space="preserve"> Закона N 103-ФЗ платежный агент при приеме платежей обязан использовать специальный банковский счет (счета) для осуществления расчетов.</w:t>
      </w:r>
    </w:p>
    <w:p>
      <w:pPr>
        <w:pStyle w:val="0"/>
        <w:spacing w:before="240" w:line-rule="auto"/>
        <w:ind w:firstLine="540"/>
        <w:jc w:val="both"/>
      </w:pPr>
      <w:r>
        <w:rPr>
          <w:sz w:val="24"/>
        </w:rPr>
        <w:t xml:space="preserve">Исходя из </w:t>
      </w:r>
      <w:hyperlink w:history="0" r:id="rId69" w:tooltip="Федеральный закон от 03.06.2009 N 103-ФЗ (ред. от 08.08.2024) &quot;О деятельности по приему платежей физических лиц, осуществляемой платежными агентами&quot; (с изм. и доп., вступ. в силу с 01.10.2024) {КонсультантПлюс}">
        <w:r>
          <w:rPr>
            <w:sz w:val="24"/>
            <w:color w:val="0000ff"/>
          </w:rPr>
          <w:t xml:space="preserve">части 18 статьи 4</w:t>
        </w:r>
      </w:hyperlink>
      <w:r>
        <w:rPr>
          <w:sz w:val="24"/>
        </w:rPr>
        <w:t xml:space="preserve"> Закона N 103-ФЗ поставщик при осуществлении расчетов с платежным агентом при приеме платежей обязан использовать специальный банковский счет. Поставщик не вправе получать денежные средства, принятые платежным агентом в качестве платежей, на банковские счета, не являющиеся специальными банковскими счетами.</w:t>
      </w:r>
    </w:p>
    <w:p>
      <w:pPr>
        <w:pStyle w:val="0"/>
        <w:spacing w:before="240" w:line-rule="auto"/>
        <w:ind w:firstLine="540"/>
        <w:jc w:val="both"/>
      </w:pPr>
      <w:hyperlink w:history="0" r:id="rId70" w:tooltip="Федеральный закон от 03.06.2009 N 103-ФЗ (ред. от 08.08.2024) &quot;О деятельности по приему платежей физических лиц, осуществляемой платежными агентами&quot; (с изм. и доп., вступ. в силу с 01.10.2024) {КонсультантПлюс}">
        <w:r>
          <w:rPr>
            <w:sz w:val="24"/>
            <w:color w:val="0000ff"/>
          </w:rPr>
          <w:t xml:space="preserve">Частью 19</w:t>
        </w:r>
      </w:hyperlink>
      <w:r>
        <w:rPr>
          <w:sz w:val="24"/>
        </w:rPr>
        <w:t xml:space="preserve"> и </w:t>
      </w:r>
      <w:hyperlink w:history="0" r:id="rId71" w:tooltip="Федеральный закон от 03.06.2009 N 103-ФЗ (ред. от 08.08.2024) &quot;О деятельности по приему платежей физических лиц, осуществляемой платежными агентами&quot; (с изм. и доп., вступ. в силу с 01.10.2024) {КонсультантПлюс}">
        <w:r>
          <w:rPr>
            <w:sz w:val="24"/>
            <w:color w:val="0000ff"/>
          </w:rPr>
          <w:t xml:space="preserve">20 статьи 4</w:t>
        </w:r>
      </w:hyperlink>
      <w:r>
        <w:rPr>
          <w:sz w:val="24"/>
        </w:rPr>
        <w:t xml:space="preserve"> Федерального закона от 3 июня 2009 г. N 103-ФЗ установлено, что по специальному банковскому счету поставщика могут осуществляться такие операции, как зачисление денежных средств, списанных со специального банковского счета платежного агента, а также списание денежных средств на банковские счета. Осуществление других операций по специальному банковскому счету поставщика не допускается.</w:t>
      </w:r>
    </w:p>
    <w:p>
      <w:pPr>
        <w:pStyle w:val="0"/>
        <w:spacing w:before="240" w:line-rule="auto"/>
        <w:ind w:firstLine="540"/>
        <w:jc w:val="both"/>
      </w:pPr>
      <w:r>
        <w:rPr>
          <w:sz w:val="24"/>
        </w:rPr>
        <w:t xml:space="preserve">Таким образом, в случае привлечения платежного агента, платежный агент при приеме платежей обязан использовать специальный банковский счет (счета) для осуществления расчетов.</w:t>
      </w:r>
    </w:p>
    <w:p>
      <w:pPr>
        <w:pStyle w:val="0"/>
        <w:spacing w:before="240" w:line-rule="auto"/>
        <w:ind w:firstLine="540"/>
        <w:jc w:val="both"/>
      </w:pPr>
      <w:r>
        <w:rPr>
          <w:sz w:val="24"/>
        </w:rPr>
        <w:t xml:space="preserve">Исходя из вышеизложенного, при привлечении юридическим лицом, которому в соответствии с </w:t>
      </w:r>
      <w:hyperlink w:history="0" r:id="rId7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ЖК</w:t>
        </w:r>
      </w:hyperlink>
      <w:r>
        <w:rPr>
          <w:sz w:val="24"/>
        </w:rPr>
        <w:t xml:space="preserve"> РФ вносится плата за жилое помещение и коммунальные услуги, платежного агента оплата платежей нанимателями жилых помещений государственного и муниципального жилищных фондов и собственниками жилых помещений за жилое помещение и коммунальные услуги осуществляется на специальный банковский счет платежного агента. Платежный агент перечисляет оплату со своего специального банковского счета на специальный банковский счет поставщика.</w:t>
      </w:r>
    </w:p>
    <w:p>
      <w:pPr>
        <w:pStyle w:val="0"/>
        <w:spacing w:before="240" w:line-rule="auto"/>
        <w:ind w:firstLine="540"/>
        <w:jc w:val="both"/>
      </w:pPr>
      <w:r>
        <w:rPr>
          <w:sz w:val="24"/>
        </w:rPr>
        <w:t xml:space="preserve">Необходимо отметить, что в указанном случае поставщик применяет специальный банковский счет только для расчетов с платежным агентом, при расчетах с потребителями услуг указанный специальный банковский счет поставщика применению не подлежит.</w:t>
      </w:r>
    </w:p>
    <w:p>
      <w:pPr>
        <w:pStyle w:val="0"/>
        <w:spacing w:before="240" w:line-rule="auto"/>
        <w:ind w:firstLine="540"/>
        <w:jc w:val="both"/>
      </w:pPr>
      <w:hyperlink w:history="0" r:id="rId73" w:tooltip="Положение Банка России от 24.11.2022 N 809-П (ред. от 02.11.2024) &quot;О Плане счетов бухгалтерского учета для кредитных организаций и порядке его применения&quot; (Зарегистрировано в Минюсте России 29.12.2022 N 71867) (с изм. и доп., вступ. в силу с 01.03.2025) {КонсультантПлюс}">
        <w:r>
          <w:rPr>
            <w:sz w:val="24"/>
            <w:color w:val="0000ff"/>
          </w:rPr>
          <w:t xml:space="preserve">Положением</w:t>
        </w:r>
      </w:hyperlink>
      <w:r>
        <w:rPr>
          <w:sz w:val="24"/>
        </w:rPr>
        <w:t xml:space="preserve"> Банка России от 24 ноября 2022 г. N 809-П "О Плане счетов бухгалтерского учета для кредитных организаций и порядке его применения" (Зарегистрировано в Минюсте России 29 декабря 2022 г. N 71867, далее - План счетов) счет N 40821 определен как специальный банковский счет платежного агента, банковского платежного агента (субагента), поставщика; его назначение заключается в том, что таковой представляет собой специальный банковский счет, открываемый платежным агентам, банковским платежным агентам (субагентам), поставщикам для зачисления и списания денежных средств в соответствии с законодательством Российской Федерации.</w:t>
      </w:r>
    </w:p>
    <w:p>
      <w:pPr>
        <w:pStyle w:val="0"/>
        <w:spacing w:before="240" w:line-rule="auto"/>
        <w:ind w:firstLine="540"/>
        <w:jc w:val="both"/>
      </w:pPr>
      <w:r>
        <w:rPr>
          <w:sz w:val="24"/>
        </w:rPr>
        <w:t xml:space="preserve">Контроль за соблюдением платежными агентами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специальный банковский счет (счета), а также по использованию платежными агентами и поставщиками специальных банковских счетов для осуществления расчетов при приеме платежей осуществляют налоговые органы Российской Федерации (</w:t>
      </w:r>
      <w:hyperlink w:history="0" r:id="rId74" w:tooltip="Федеральный закон от 03.06.2009 N 103-ФЗ (ред. от 08.08.2024) &quot;О деятельности по приему платежей физических лиц, осуществляемой платежными агентами&quot; (с изм. и доп., вступ. в силу с 01.10.2024) {КонсультантПлюс}">
        <w:r>
          <w:rPr>
            <w:sz w:val="24"/>
            <w:color w:val="0000ff"/>
          </w:rPr>
          <w:t xml:space="preserve">часть 4 статьи 7</w:t>
        </w:r>
      </w:hyperlink>
      <w:r>
        <w:rPr>
          <w:sz w:val="24"/>
        </w:rPr>
        <w:t xml:space="preserve"> Закона N 103-ФЗ).</w:t>
      </w:r>
    </w:p>
    <w:p>
      <w:pPr>
        <w:pStyle w:val="0"/>
        <w:spacing w:before="240" w:line-rule="auto"/>
        <w:ind w:firstLine="540"/>
        <w:jc w:val="both"/>
      </w:pPr>
      <w:r>
        <w:rPr>
          <w:sz w:val="24"/>
        </w:rPr>
        <w:t xml:space="preserve">В случае, если исполнитель услуг осуществляет прием платежей без участия платежного агента, тогда в платежном документе указывается расчетный счет исполнителя.</w:t>
      </w:r>
    </w:p>
    <w:p>
      <w:pPr>
        <w:pStyle w:val="0"/>
        <w:spacing w:before="240" w:line-rule="auto"/>
        <w:ind w:firstLine="540"/>
        <w:jc w:val="both"/>
      </w:pPr>
      <w:hyperlink w:history="0" r:id="rId75" w:tooltip="Положение Банка России от 24.11.2022 N 809-П (ред. от 02.11.2024) &quot;О Плане счетов бухгалтерского учета для кредитных организаций и порядке его применения&quot; (Зарегистрировано в Минюсте России 29.12.2022 N 71867) (с изм. и доп., вступ. в силу с 01.03.2025) {КонсультантПлюс}">
        <w:r>
          <w:rPr>
            <w:sz w:val="24"/>
            <w:color w:val="0000ff"/>
          </w:rPr>
          <w:t xml:space="preserve">План</w:t>
        </w:r>
      </w:hyperlink>
      <w:r>
        <w:rPr>
          <w:sz w:val="24"/>
        </w:rPr>
        <w:t xml:space="preserve"> счетов определяет счет N 40702 как счет коммерческой организации. Управляющие организации, созданные в форме обществ с ограниченной ответственностью, применяют указанный номер счета.</w:t>
      </w:r>
    </w:p>
    <w:p>
      <w:pPr>
        <w:pStyle w:val="0"/>
        <w:spacing w:before="240" w:line-rule="auto"/>
        <w:ind w:firstLine="540"/>
        <w:jc w:val="both"/>
      </w:pPr>
      <w:r>
        <w:rPr>
          <w:sz w:val="24"/>
        </w:rPr>
        <w:t xml:space="preserve">Счет N 40703 определен </w:t>
      </w:r>
      <w:hyperlink w:history="0" r:id="rId76" w:tooltip="Положение Банка России от 24.11.2022 N 809-П (ред. от 02.11.2024) &quot;О Плане счетов бухгалтерского учета для кредитных организаций и порядке его применения&quot; (Зарегистрировано в Минюсте России 29.12.2022 N 71867) (с изм. и доп., вступ. в силу с 01.03.2025) {КонсультантПлюс}">
        <w:r>
          <w:rPr>
            <w:sz w:val="24"/>
            <w:color w:val="0000ff"/>
          </w:rPr>
          <w:t xml:space="preserve">Планом</w:t>
        </w:r>
      </w:hyperlink>
      <w:r>
        <w:rPr>
          <w:sz w:val="24"/>
        </w:rPr>
        <w:t xml:space="preserve"> счетов как счет некоммерческой организации. Товарищества собственников жилья, являющиеся некоммерческими организациями, применяют указанный номер счета.</w:t>
      </w:r>
    </w:p>
    <w:p>
      <w:pPr>
        <w:pStyle w:val="0"/>
        <w:spacing w:before="240" w:line-rule="auto"/>
        <w:ind w:firstLine="540"/>
        <w:jc w:val="both"/>
      </w:pPr>
      <w:r>
        <w:rPr>
          <w:sz w:val="24"/>
        </w:rPr>
        <w:t xml:space="preserve">В соответствии со </w:t>
      </w:r>
      <w:hyperlink w:history="0"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75</w:t>
        </w:r>
      </w:hyperlink>
      <w:r>
        <w:rPr>
          <w:sz w:val="24"/>
        </w:rPr>
        <w:t xml:space="preserve"> Конституции Российской Федерации денежная единица Российской Федерации - рубль, а денежная эмиссия осуществляется исключительно Банком России.</w:t>
      </w:r>
    </w:p>
    <w:p>
      <w:pPr>
        <w:pStyle w:val="0"/>
        <w:spacing w:before="240" w:line-rule="auto"/>
        <w:ind w:firstLine="540"/>
        <w:jc w:val="both"/>
      </w:pPr>
      <w:r>
        <w:rPr>
          <w:sz w:val="24"/>
        </w:rPr>
        <w:t xml:space="preserve">В соответствии со </w:t>
      </w:r>
      <w:hyperlink w:history="0" r:id="rId78" w:tooltip="Федеральный закон от 10.07.2002 N 86-ФЗ (ред. от 28.12.2024) &quot;О Центральном банке Российской Федерации (Банке России)&quot; {КонсультантПлюс}">
        <w:r>
          <w:rPr>
            <w:sz w:val="24"/>
            <w:color w:val="0000ff"/>
          </w:rPr>
          <w:t xml:space="preserve">статьями 29</w:t>
        </w:r>
      </w:hyperlink>
      <w:r>
        <w:rPr>
          <w:sz w:val="24"/>
        </w:rPr>
        <w:t xml:space="preserve"> и </w:t>
      </w:r>
      <w:hyperlink w:history="0" r:id="rId79" w:tooltip="Федеральный закон от 10.07.2002 N 86-ФЗ (ред. от 28.12.2024) &quot;О Центральном банке Российской Федерации (Банке России)&quot; {КонсультантПлюс}">
        <w:r>
          <w:rPr>
            <w:sz w:val="24"/>
            <w:color w:val="0000ff"/>
          </w:rPr>
          <w:t xml:space="preserve">30</w:t>
        </w:r>
      </w:hyperlink>
      <w:r>
        <w:rPr>
          <w:sz w:val="24"/>
        </w:rPr>
        <w:t xml:space="preserve"> Федерального закона от 10 июля 2002 г. N 86-ФЗ "О Центральном банке Российской Федерации (Банке России)" банкноты и монета Банка России являются единственным законным средством наличного платежа на территории Российской Федерации и безусловными обязательствами Банка России и обеспечиваются всеми его активами. Они обязательны к приему по нарицательной стоимости при осуществлении всех видов платежей, для зачисления на счета, во вклады и для перевода на всей территории Российской Федерации.</w:t>
      </w:r>
    </w:p>
    <w:p>
      <w:pPr>
        <w:pStyle w:val="0"/>
        <w:spacing w:before="240" w:line-rule="auto"/>
        <w:ind w:firstLine="540"/>
        <w:jc w:val="both"/>
      </w:pPr>
      <w:r>
        <w:rPr>
          <w:sz w:val="24"/>
        </w:rPr>
        <w:t xml:space="preserve">Таким образом, официальной денежной единицей (валютой) Российской Федерации является рубль. Один рубль состоит из 100 копеек.</w:t>
      </w:r>
    </w:p>
    <w:p>
      <w:pPr>
        <w:pStyle w:val="0"/>
        <w:spacing w:before="240" w:line-rule="auto"/>
        <w:ind w:firstLine="540"/>
        <w:jc w:val="both"/>
      </w:pPr>
      <w:r>
        <w:rPr>
          <w:sz w:val="24"/>
        </w:rPr>
        <w:t xml:space="preserve">Банком России устанавливаются требования по использованию в информационно-аналитических и учетно-операционных системах следующих классификационных характеристик валюты нашего государства: наименование валюты - "Российский рубль", цифровой код - </w:t>
      </w:r>
      <w:hyperlink w:history="0" r:id="rId80" w:tooltip="&quot;ОК (МК (ИСО 4217) 003-97) 014-2000. Общероссийский классификатор валют&quot; (утв. Постановлением Госстандарта России от 25.12.2000 N 405-ст) (ред. от 26.07.2024) {КонсультантПлюс}">
        <w:r>
          <w:rPr>
            <w:sz w:val="24"/>
            <w:color w:val="0000ff"/>
          </w:rPr>
          <w:t xml:space="preserve">"643"</w:t>
        </w:r>
      </w:hyperlink>
      <w:r>
        <w:rPr>
          <w:sz w:val="24"/>
        </w:rPr>
        <w:t xml:space="preserve">, буквенный код - "Rub". Коды </w:t>
      </w:r>
      <w:hyperlink w:history="0" r:id="rId81" w:tooltip="&quot;ОК (МК (ИСО 4217) 003-97) 014-2000. Общероссийский классификатор валют&quot; (утв. Постановлением Госстандарта России от 25.12.2000 N 405-ст) (ред. от 26.07.2024) {КонсультантПлюс}">
        <w:r>
          <w:rPr>
            <w:sz w:val="24"/>
            <w:color w:val="0000ff"/>
          </w:rPr>
          <w:t xml:space="preserve">"810"</w:t>
        </w:r>
      </w:hyperlink>
      <w:r>
        <w:rPr>
          <w:sz w:val="24"/>
        </w:rPr>
        <w:t xml:space="preserve"> и "Rur", исключенные из Общероссийского классификатора валют </w:t>
      </w:r>
      <w:hyperlink w:history="0" r:id="rId82" w:tooltip="&quot;Изменение 6/2003 ОКВ Общероссийский классификатор валют ОК (МК (ИСО 4217) 003-97) 014-2000&quot; (утв. Госстандартом РФ) {КонсультантПлюс}">
        <w:r>
          <w:rPr>
            <w:sz w:val="24"/>
            <w:color w:val="0000ff"/>
          </w:rPr>
          <w:t xml:space="preserve">Изменением</w:t>
        </w:r>
      </w:hyperlink>
      <w:r>
        <w:rPr>
          <w:sz w:val="24"/>
        </w:rPr>
        <w:t xml:space="preserve"> 6/2003 ОКВ, с 1 марта 2004 г. не применяются.</w:t>
      </w:r>
    </w:p>
    <w:p>
      <w:pPr>
        <w:pStyle w:val="0"/>
        <w:spacing w:before="240" w:line-rule="auto"/>
        <w:ind w:firstLine="540"/>
        <w:jc w:val="both"/>
      </w:pPr>
      <w:hyperlink w:history="0" r:id="rId83" w:tooltip="Положение Банка России от 24.11.2022 N 809-П (ред. от 02.11.2024) &quot;О Плане счетов бухгалтерского учета для кредитных организаций и порядке его применения&quot; (Зарегистрировано в Минюсте России 29.12.2022 N 71867) (с изм. и доп., вступ. в силу с 01.03.2025) {КонсультантПлюс}">
        <w:r>
          <w:rPr>
            <w:sz w:val="24"/>
            <w:color w:val="0000ff"/>
          </w:rPr>
          <w:t xml:space="preserve">Схемой</w:t>
        </w:r>
      </w:hyperlink>
      <w:r>
        <w:rPr>
          <w:sz w:val="24"/>
        </w:rPr>
        <w:t xml:space="preserve"> обозначения лицевых счетов и их нумерации (по основным счетам), являющейся приложением N 1 к Плану счетов, установлено, что в лицевом счете в разрядах, предназначенных для кода валюты, указываются соответствующие коды, предусмотренные Общероссийским </w:t>
      </w:r>
      <w:hyperlink w:history="0" r:id="rId84" w:tooltip="&quot;ОК (МК (ИСО 4217) 003-97) 014-2000. Общероссийский классификатор валют&quot; (утв. Постановлением Госстандарта России от 25.12.2000 N 405-ст) (ред. от 26.07.2024) {КонсультантПлюс}">
        <w:r>
          <w:rPr>
            <w:sz w:val="24"/>
            <w:color w:val="0000ff"/>
          </w:rPr>
          <w:t xml:space="preserve">классификатором</w:t>
        </w:r>
      </w:hyperlink>
      <w:r>
        <w:rPr>
          <w:sz w:val="24"/>
        </w:rPr>
        <w:t xml:space="preserve"> валют (ОКВ), а по счетам в валюте Российской Федерации используется признак рубля "810".</w:t>
      </w:r>
    </w:p>
    <w:p>
      <w:pPr>
        <w:pStyle w:val="0"/>
        <w:spacing w:before="240" w:line-rule="auto"/>
        <w:ind w:firstLine="540"/>
        <w:jc w:val="both"/>
      </w:pPr>
      <w:r>
        <w:rPr>
          <w:sz w:val="24"/>
        </w:rPr>
        <w:t xml:space="preserve">Отмечается, что код "810" в номере лицевого счета не означает, что на этом лицевом счете проводятся операции с некоей "валютой 810", отличной по номиналу или иным параметрам от "валюты 643".</w:t>
      </w:r>
    </w:p>
    <w:p>
      <w:pPr>
        <w:pStyle w:val="0"/>
        <w:spacing w:before="240" w:line-rule="auto"/>
        <w:ind w:firstLine="540"/>
        <w:jc w:val="both"/>
      </w:pPr>
      <w:r>
        <w:rPr>
          <w:sz w:val="24"/>
        </w:rPr>
        <w:t xml:space="preserve">В российском законодательстве не существует понятия "валюта 643" или "валюта 810". Ни на банкнотах, ни на монетах код валюты российского рубля не указывается. Эти коды финансовые организации используют только для бухгалтерского учета и отчетности. И само по себе изменение цифровых или буквенных кодов валют никак не влияет на обращение денег.</w:t>
      </w:r>
    </w:p>
    <w:p>
      <w:pPr>
        <w:pStyle w:val="0"/>
        <w:spacing w:before="240" w:line-rule="auto"/>
        <w:ind w:firstLine="540"/>
        <w:jc w:val="both"/>
      </w:pPr>
      <w:r>
        <w:rPr>
          <w:sz w:val="24"/>
        </w:rPr>
        <w:t xml:space="preserve">Конвертация "валюты 643" в "валюту 810" невозможна, поскольку установленную </w:t>
      </w:r>
      <w:hyperlink w:history="0"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денежную единицу Российской Федерации "рубль" нельзя конвертировать саму в себя.</w:t>
      </w:r>
    </w:p>
    <w:p>
      <w:pPr>
        <w:pStyle w:val="0"/>
        <w:spacing w:before="240" w:line-rule="auto"/>
        <w:ind w:firstLine="540"/>
        <w:jc w:val="both"/>
      </w:pPr>
      <w:r>
        <w:rPr>
          <w:sz w:val="24"/>
        </w:rPr>
        <w:t xml:space="preserve">Разъяснением Центрального Банка Российской Федерации от 9 ноября 2017 г. "По вопросу, связанному с обозначением признака рубля в номере лицевого счета" разъяснено, что в лицевом счете в разрядах, предназначенных для признака рубля, используется признак рубля "810". Код рубля </w:t>
      </w:r>
      <w:hyperlink w:history="0" r:id="rId86" w:tooltip="&quot;ОК (МК (ИСО 4217) 003-97) 014-2000. Общероссийский классификатор валют&quot; (утв. Постановлением Госстандарта России от 25.12.2000 N 405-ст) (ред. от 26.07.2024) {КонсультантПлюс}">
        <w:r>
          <w:rPr>
            <w:sz w:val="24"/>
            <w:color w:val="0000ff"/>
          </w:rPr>
          <w:t xml:space="preserve">"643"</w:t>
        </w:r>
      </w:hyperlink>
      <w:r>
        <w:rPr>
          <w:sz w:val="24"/>
        </w:rPr>
        <w:t xml:space="preserve">, предусмотренный Общероссийским классификатором валют (ОКВ), составной частью номера лицевого счета не является.</w:t>
      </w:r>
    </w:p>
    <w:p>
      <w:pPr>
        <w:pStyle w:val="0"/>
        <w:spacing w:before="240" w:line-rule="auto"/>
        <w:ind w:firstLine="540"/>
        <w:jc w:val="both"/>
      </w:pPr>
      <w:hyperlink w:history="0" r:id="rId8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155</w:t>
        </w:r>
      </w:hyperlink>
      <w:r>
        <w:rPr>
          <w:sz w:val="24"/>
        </w:rPr>
        <w:t xml:space="preserve"> ЖК РФ установлено, что плата за жилое помещение и коммунальные услуги вносится ежемесячно до десятого числа месяца, следующего за истекшим месяцем. В этой связи задолженность за предоставленные коммунальные услуги возникает с 11 числа месяца, следующего за расчетным месяцем, в котором предоставлены оплачиваемые услуги.</w:t>
      </w:r>
    </w:p>
    <w:p>
      <w:pPr>
        <w:pStyle w:val="0"/>
        <w:spacing w:before="240" w:line-rule="auto"/>
        <w:ind w:firstLine="540"/>
        <w:jc w:val="both"/>
      </w:pPr>
      <w:r>
        <w:rPr>
          <w:sz w:val="24"/>
        </w:rPr>
        <w:t xml:space="preserve">В соответствии с </w:t>
      </w:r>
      <w:hyperlink w:history="0" r:id="rId88"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118</w:t>
        </w:r>
      </w:hyperlink>
      <w:r>
        <w:rPr>
          <w:sz w:val="24"/>
        </w:rPr>
        <w:t xml:space="preserve"> Правил N 354 в случае, если потребитель частично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pPr>
        <w:pStyle w:val="0"/>
        <w:spacing w:before="240" w:line-rule="auto"/>
        <w:ind w:firstLine="540"/>
        <w:jc w:val="both"/>
      </w:pPr>
      <w:r>
        <w:rPr>
          <w:sz w:val="24"/>
        </w:rPr>
        <w:t xml:space="preserve">Таким образом, в первую очередь погашаются требования по оплате жилого помещения и коммунальных услуг за текущий расчетный период, а затем за предыдущие расчетные периоды.</w:t>
      </w:r>
    </w:p>
    <w:p>
      <w:pPr>
        <w:pStyle w:val="0"/>
        <w:spacing w:before="240" w:line-rule="auto"/>
        <w:ind w:firstLine="540"/>
        <w:jc w:val="both"/>
      </w:pPr>
      <w:hyperlink w:history="0" r:id="rId89"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14 статьи 155</w:t>
        </w:r>
      </w:hyperlink>
      <w:r>
        <w:rPr>
          <w:sz w:val="24"/>
        </w:rPr>
        <w:t xml:space="preserve"> ЖК РФ установлено, что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w:t>
      </w:r>
    </w:p>
    <w:p>
      <w:pPr>
        <w:pStyle w:val="0"/>
        <w:spacing w:before="240" w:line-rule="auto"/>
        <w:ind w:firstLine="540"/>
        <w:jc w:val="both"/>
      </w:pPr>
      <w:r>
        <w:rPr>
          <w:sz w:val="24"/>
        </w:rPr>
        <w:t xml:space="preserve">Согласно </w:t>
      </w:r>
      <w:hyperlink w:history="0" r:id="rId90"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подпункту "а" пункта 117</w:t>
        </w:r>
      </w:hyperlink>
      <w:r>
        <w:rPr>
          <w:sz w:val="24"/>
        </w:rPr>
        <w:t xml:space="preserve"> Правил N 354 исполнитель ограничивает или приостанавливает предоставление коммунальной услуги, предварительно уведомив об этом потребителя, в случае неполной оплаты потребителем коммунальной услуги в порядке и сроки, которые установлены </w:t>
      </w:r>
      <w:hyperlink w:history="0" r:id="rId91"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Правилами</w:t>
        </w:r>
      </w:hyperlink>
      <w:r>
        <w:rPr>
          <w:sz w:val="24"/>
        </w:rPr>
        <w:t xml:space="preserve"> N 354.</w:t>
      </w:r>
    </w:p>
    <w:p>
      <w:pPr>
        <w:pStyle w:val="0"/>
        <w:spacing w:before="240" w:line-rule="auto"/>
        <w:ind w:firstLine="540"/>
        <w:jc w:val="both"/>
      </w:pPr>
      <w:r>
        <w:rPr>
          <w:sz w:val="24"/>
        </w:rPr>
        <w:t xml:space="preserve">Порядок ограничения или приостановления предоставления коммунальных услуг установлен </w:t>
      </w:r>
      <w:hyperlink w:history="0" r:id="rId92"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пунктом 119</w:t>
        </w:r>
      </w:hyperlink>
      <w:r>
        <w:rPr>
          <w:sz w:val="24"/>
        </w:rPr>
        <w:t xml:space="preserve"> Правил N 354.</w:t>
      </w:r>
    </w:p>
    <w:p>
      <w:pPr>
        <w:pStyle w:val="0"/>
        <w:spacing w:before="240" w:line-rule="auto"/>
        <w:ind w:firstLine="540"/>
        <w:jc w:val="both"/>
      </w:pPr>
      <w:r>
        <w:rPr>
          <w:sz w:val="24"/>
        </w:rPr>
        <w:t xml:space="preserve">Ресурсами, обеспечивающими минимальные жизненно необходимые потребности для проживания в многоквартирном или жилом доме, которые не могут быть отключены в случае образования задолженности, являются коммунальные услуги по отоплению и холодному водоснабжению.</w:t>
      </w:r>
    </w:p>
    <w:p>
      <w:pPr>
        <w:pStyle w:val="0"/>
        <w:spacing w:before="240" w:line-rule="auto"/>
        <w:ind w:firstLine="540"/>
        <w:jc w:val="both"/>
      </w:pPr>
      <w:r>
        <w:rPr>
          <w:sz w:val="24"/>
        </w:rPr>
        <w:t xml:space="preserve">Таким образом, ограничение или приостановление предоставления услуг направлено на недопущение увеличения задолженности потребителя.</w:t>
      </w:r>
    </w:p>
    <w:p>
      <w:pPr>
        <w:pStyle w:val="0"/>
        <w:spacing w:before="240" w:line-rule="auto"/>
        <w:ind w:firstLine="540"/>
        <w:jc w:val="both"/>
      </w:pPr>
      <w:r>
        <w:rPr>
          <w:sz w:val="24"/>
        </w:rPr>
        <w:t xml:space="preserve">Следует отметить, что потребитель несет установленную законодательством Российской Федерации гражданско-правовую ответственность за невнесение или несвоевременное внесение платы за коммунальные услуги (</w:t>
      </w:r>
      <w:hyperlink w:history="0" r:id="rId93" w:tooltip="Постановление Правительства РФ от 06.05.2011 N 354 (ред. от 29.08.2024)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ользователям помещений в многоквартирных домах и жилых домов&quot;) {КонсультантПлюс}">
        <w:r>
          <w:rPr>
            <w:sz w:val="24"/>
            <w:color w:val="0000ff"/>
          </w:rPr>
          <w:t xml:space="preserve">пункт 158</w:t>
        </w:r>
      </w:hyperlink>
      <w:r>
        <w:rPr>
          <w:sz w:val="24"/>
        </w:rPr>
        <w:t xml:space="preserve"> Правил N 354).</w:t>
      </w:r>
    </w:p>
    <w:p>
      <w:pPr>
        <w:pStyle w:val="0"/>
        <w:spacing w:before="240" w:line-rule="auto"/>
        <w:ind w:firstLine="540"/>
        <w:jc w:val="both"/>
      </w:pPr>
      <w:r>
        <w:rPr>
          <w:sz w:val="24"/>
        </w:rPr>
        <w:t xml:space="preserve">Федеральным </w:t>
      </w:r>
      <w:hyperlink w:history="0" r:id="rId94" w:tooltip="Федеральный закон от 29.06.2021 N 234-ФЗ &quot;О внесении изменений в статью 446 Гражданского процессуального кодекса Российской Федерации и Федеральный закон &quot;Об исполнительном производстве&quot; {КонсультантПлюс}">
        <w:r>
          <w:rPr>
            <w:sz w:val="24"/>
            <w:color w:val="0000ff"/>
          </w:rPr>
          <w:t xml:space="preserve">законом</w:t>
        </w:r>
      </w:hyperlink>
      <w:r>
        <w:rPr>
          <w:sz w:val="24"/>
        </w:rPr>
        <w:t xml:space="preserve"> от 29 июня 2021 г. N 234-ФЗ внесены изменения в </w:t>
      </w:r>
      <w:hyperlink w:history="0" r:id="rId95"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статью 446</w:t>
        </w:r>
      </w:hyperlink>
      <w:r>
        <w:rPr>
          <w:sz w:val="24"/>
        </w:rPr>
        <w:t xml:space="preserve"> ГПК РФ и Федеральный </w:t>
      </w:r>
      <w:hyperlink w:history="0" r:id="rId96" w:tooltip="Федеральный закон от 02.10.2007 N 229-ФЗ (ред. от 23.11.2024) &quot;Об исполнительном производстве&quot; (с изм. и доп., вступ. в силу с 05.02.2025) {КонсультантПлюс}">
        <w:r>
          <w:rPr>
            <w:sz w:val="24"/>
            <w:color w:val="0000ff"/>
          </w:rPr>
          <w:t xml:space="preserve">закон</w:t>
        </w:r>
      </w:hyperlink>
      <w:r>
        <w:rPr>
          <w:sz w:val="24"/>
        </w:rPr>
        <w:t xml:space="preserve"> от 2 октября 2007 г. N 229-ФЗ "Об исполнительном производстве". Изменениями введен запрет на списание со счета должника необходимого для жизни минимального дохода.</w:t>
      </w:r>
    </w:p>
    <w:p>
      <w:pPr>
        <w:pStyle w:val="0"/>
        <w:spacing w:before="240" w:line-rule="auto"/>
        <w:ind w:firstLine="540"/>
        <w:jc w:val="both"/>
      </w:pPr>
      <w:r>
        <w:rPr>
          <w:sz w:val="24"/>
        </w:rPr>
        <w:t xml:space="preserve">Коммунальные долги с граждан взыскиваются в порядке приказного производства, которое не предполагает вызова сторон в заседание (</w:t>
      </w:r>
      <w:hyperlink w:history="0" r:id="rId97"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статья 121</w:t>
        </w:r>
      </w:hyperlink>
      <w:r>
        <w:rPr>
          <w:sz w:val="24"/>
        </w:rPr>
        <w:t xml:space="preserve"> Гражданского процессуального кодекса Российской Федерации).</w:t>
      </w:r>
    </w:p>
    <w:p>
      <w:pPr>
        <w:pStyle w:val="0"/>
        <w:spacing w:before="240" w:line-rule="auto"/>
        <w:ind w:firstLine="540"/>
        <w:jc w:val="both"/>
      </w:pPr>
      <w:r>
        <w:rPr>
          <w:sz w:val="24"/>
        </w:rPr>
        <w:t xml:space="preserve">К спорам, связанным с оплатой гражданами жилого помещения и коммунальных услуг, применяется общий трехлетний срок исковой давности, исчисляемый со дня, когда лицо узнало или должно было узнать о нарушении своего права и о том, кто является надлежащим ответчиком по иску о защите этого права (</w:t>
      </w:r>
      <w:hyperlink w:history="0" r:id="rId98"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статьи 196</w:t>
        </w:r>
      </w:hyperlink>
      <w:r>
        <w:rPr>
          <w:sz w:val="24"/>
        </w:rPr>
        <w:t xml:space="preserve">, </w:t>
      </w:r>
      <w:hyperlink w:history="0" r:id="rId99" w:tooltip="&quot;Гражданский кодекс Российской Федерации (часть первая)&quot; от 30.11.1994 N 51-ФЗ (ред. от 08.08.2024, с изм. от 31.10.2024) {КонсультантПлюс}">
        <w:r>
          <w:rPr>
            <w:sz w:val="24"/>
            <w:color w:val="0000ff"/>
          </w:rPr>
          <w:t xml:space="preserve">200</w:t>
        </w:r>
      </w:hyperlink>
      <w:r>
        <w:rPr>
          <w:sz w:val="24"/>
        </w:rPr>
        <w:t xml:space="preserve"> ГК РФ).</w:t>
      </w:r>
    </w:p>
    <w:p>
      <w:pPr>
        <w:pStyle w:val="0"/>
        <w:spacing w:before="240" w:line-rule="auto"/>
        <w:ind w:firstLine="540"/>
        <w:jc w:val="both"/>
      </w:pPr>
      <w:r>
        <w:rPr>
          <w:sz w:val="24"/>
        </w:rPr>
        <w:t xml:space="preserve">Срок исковой давности по требованиям о взыскании задолженности по оплате жилого помещения и коммунальных услуг исчисляется отдельно по каждому ежемесячному платежу (</w:t>
      </w:r>
      <w:hyperlink w:history="0" r:id="rId100"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 1 статьи 155</w:t>
        </w:r>
      </w:hyperlink>
      <w:r>
        <w:rPr>
          <w:sz w:val="24"/>
        </w:rPr>
        <w:t xml:space="preserve"> ЖК РФ и </w:t>
      </w:r>
      <w:hyperlink w:history="0" r:id="rId101"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 2 статьи 200</w:t>
        </w:r>
      </w:hyperlink>
      <w:r>
        <w:rPr>
          <w:sz w:val="24"/>
        </w:rPr>
        <w:t xml:space="preserve"> ГК РФ).</w:t>
      </w:r>
    </w:p>
    <w:p>
      <w:pPr>
        <w:pStyle w:val="0"/>
        <w:spacing w:before="240" w:line-rule="auto"/>
        <w:ind w:firstLine="540"/>
        <w:jc w:val="both"/>
      </w:pPr>
      <w:r>
        <w:rPr>
          <w:sz w:val="24"/>
        </w:rPr>
        <w:t xml:space="preserve">По поводу межбюджетных трансфертов, выделяемых из федерального бюджета бюджетам субъектов Российской Федерации, в том числе для оказания финансовой помощи по оплате жилых помещений и коммунальных услуг, сообщается следующее.</w:t>
      </w:r>
    </w:p>
    <w:p>
      <w:pPr>
        <w:pStyle w:val="0"/>
        <w:spacing w:before="240" w:line-rule="auto"/>
        <w:ind w:firstLine="540"/>
        <w:jc w:val="both"/>
      </w:pPr>
      <w:r>
        <w:rPr>
          <w:sz w:val="24"/>
        </w:rPr>
        <w:t xml:space="preserve">Правительством Российской Федерации принято </w:t>
      </w:r>
      <w:hyperlink w:history="0" r:id="rId102"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постановление</w:t>
        </w:r>
      </w:hyperlink>
      <w:r>
        <w:rPr>
          <w:sz w:val="24"/>
        </w:rPr>
        <w:t xml:space="preserve"> от 29 августа 2005 г. N 541 "О федеральных стандартах оплаты жилого помещения и коммунальных услуг" (далее - Постановление N 541), которым в целях определения размера межбюджетных трансфертов, выделяемых из федерального бюджета бюджетам субъектов Российской Федерации, в том числе для оказания финансовой помощи по оплате жилых помещений и коммунальных услуг, в том числе для оказания финансовой помощи по оплате жилых помещений и коммунальных услуг, установлены 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 в размере 22 процентов и федеральный стандарт социальной нормы площади жилого помещения в размере 18 кв. метров общей площади жилья на 1 гражданина.</w:t>
      </w:r>
    </w:p>
    <w:p>
      <w:pPr>
        <w:pStyle w:val="0"/>
        <w:spacing w:before="240" w:line-rule="auto"/>
        <w:ind w:firstLine="540"/>
        <w:jc w:val="both"/>
      </w:pPr>
      <w:hyperlink w:history="0" r:id="rId103"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Постановление</w:t>
        </w:r>
      </w:hyperlink>
      <w:r>
        <w:rPr>
          <w:sz w:val="24"/>
        </w:rPr>
        <w:t xml:space="preserve"> N 541 является действующим.</w:t>
      </w:r>
    </w:p>
    <w:p>
      <w:pPr>
        <w:pStyle w:val="0"/>
        <w:spacing w:before="240" w:line-rule="auto"/>
        <w:ind w:firstLine="540"/>
        <w:jc w:val="both"/>
      </w:pPr>
      <w:r>
        <w:rPr>
          <w:sz w:val="24"/>
        </w:rPr>
        <w:t xml:space="preserve">Из положений </w:t>
      </w:r>
      <w:hyperlink w:history="0" r:id="rId104"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Постановления</w:t>
        </w:r>
      </w:hyperlink>
      <w:r>
        <w:rPr>
          <w:sz w:val="24"/>
        </w:rPr>
        <w:t xml:space="preserve"> N 541 не следует, что стоимость потребленных всеми гражданами коммунальных услуг и услуг по содержанию жилого помещения подлежит оплате из средств федерального бюджета.</w:t>
      </w:r>
    </w:p>
    <w:p>
      <w:pPr>
        <w:pStyle w:val="0"/>
        <w:spacing w:before="240" w:line-rule="auto"/>
        <w:ind w:firstLine="540"/>
        <w:jc w:val="both"/>
      </w:pPr>
      <w:hyperlink w:history="0" r:id="rId105"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Постановление</w:t>
        </w:r>
      </w:hyperlink>
      <w:r>
        <w:rPr>
          <w:sz w:val="24"/>
        </w:rPr>
        <w:t xml:space="preserve"> N 541 регулирует отношения, связанные с определением размера межбюджетных трансфертов, выделяемых из федерального бюджета бюджетам субъектов Российской Федерации, в том числе для оказания финансовой помощи по оплате жилых помещений и коммунальных услуг.</w:t>
      </w:r>
    </w:p>
    <w:p>
      <w:pPr>
        <w:pStyle w:val="0"/>
        <w:spacing w:before="240" w:line-rule="auto"/>
        <w:ind w:firstLine="540"/>
        <w:jc w:val="both"/>
      </w:pPr>
      <w:hyperlink w:history="0" r:id="rId106"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Постановление</w:t>
        </w:r>
      </w:hyperlink>
      <w:r>
        <w:rPr>
          <w:sz w:val="24"/>
        </w:rPr>
        <w:t xml:space="preserve"> N 541 применяется, например, при определении размера межбюджетных трансфертов, выделяемых из федерального бюджета бюджетам субъектов Российской Федерации на выплату субсидий на оплату жилья и коммунальных услуг гражданам, имеющим право на получение таких субсидий в соответствии с федеральным законодательством.</w:t>
      </w:r>
    </w:p>
    <w:p>
      <w:pPr>
        <w:pStyle w:val="0"/>
        <w:spacing w:before="240" w:line-rule="auto"/>
        <w:ind w:firstLine="540"/>
        <w:jc w:val="both"/>
      </w:pPr>
      <w:r>
        <w:rPr>
          <w:sz w:val="24"/>
        </w:rPr>
        <w:t xml:space="preserve">Гражданин может воспользоваться мерами социальной поддержки (субсидией, компенсацией) на оплату жилого помещения и коммунальных услуг в случае наличия оснований для применения таких мер социальной поддержки.</w:t>
      </w:r>
    </w:p>
    <w:p>
      <w:pPr>
        <w:pStyle w:val="0"/>
        <w:spacing w:before="240" w:line-rule="auto"/>
        <w:ind w:firstLine="540"/>
        <w:jc w:val="both"/>
      </w:pPr>
      <w:r>
        <w:rPr>
          <w:sz w:val="24"/>
        </w:rPr>
        <w:t xml:space="preserve">Порядок предоставления субсидий на оплату жилого помещения и коммунальных услуг гражданам определен в </w:t>
      </w:r>
      <w:hyperlink w:history="0" r:id="rId10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 159</w:t>
        </w:r>
      </w:hyperlink>
      <w:r>
        <w:rPr>
          <w:sz w:val="24"/>
        </w:rPr>
        <w:t xml:space="preserve"> ЖК РФ.</w:t>
      </w:r>
    </w:p>
    <w:p>
      <w:pPr>
        <w:pStyle w:val="0"/>
        <w:spacing w:before="240" w:line-rule="auto"/>
        <w:ind w:firstLine="540"/>
        <w:jc w:val="both"/>
      </w:pPr>
      <w:r>
        <w:rPr>
          <w:sz w:val="24"/>
        </w:rPr>
        <w:t xml:space="preserve">Финансирование мер социальной поддержки осуществляется за счет средств бюджетов бюджетной системы Российской Федерации. В случае использования для финансирования указанных мер социальной поддержки средств федерального бюджета применяются положения </w:t>
      </w:r>
      <w:hyperlink w:history="0" r:id="rId108" w:tooltip="Постановление Правительства РФ от 29.08.2005 N 541 (ред. от 15.05.2018) &quot;О федеральных стандартах оплаты жилого помещения и коммунальных услуг&quot; {КонсультантПлюс}">
        <w:r>
          <w:rPr>
            <w:sz w:val="24"/>
            <w:color w:val="0000ff"/>
          </w:rPr>
          <w:t xml:space="preserve">Постановления</w:t>
        </w:r>
      </w:hyperlink>
      <w:r>
        <w:rPr>
          <w:sz w:val="24"/>
        </w:rPr>
        <w:t xml:space="preserve"> N 541.</w:t>
      </w:r>
    </w:p>
    <w:p>
      <w:pPr>
        <w:pStyle w:val="0"/>
        <w:spacing w:before="240" w:line-rule="auto"/>
        <w:ind w:firstLine="540"/>
        <w:jc w:val="both"/>
      </w:pPr>
      <w:r>
        <w:rPr>
          <w:sz w:val="24"/>
        </w:rPr>
        <w:t xml:space="preserve">Меры социальной поддержки по оплате коммунальных услуг предоставляются лицам, проживающим в жилых помещениях независимо от вида жилищного фонда.</w:t>
      </w:r>
    </w:p>
    <w:p>
      <w:pPr>
        <w:pStyle w:val="0"/>
        <w:spacing w:before="240" w:line-rule="auto"/>
        <w:ind w:firstLine="540"/>
        <w:jc w:val="both"/>
      </w:pPr>
      <w:r>
        <w:rPr>
          <w:sz w:val="24"/>
        </w:rPr>
        <w:t xml:space="preserve">Дополнительно отмечается, что для защиты своих конституционных прав и свобод вправе обратиться в органы прокуратуры Российской Федерации, а также обжаловать решения и действия (бездействие) органов государственной власти, органов местного самоуправления и должностных лиц в суде в установленном законом порядке в соответствии со </w:t>
      </w:r>
      <w:hyperlink w:history="0" r:id="rId1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46</w:t>
        </w:r>
      </w:hyperlink>
      <w:r>
        <w:rPr>
          <w:sz w:val="24"/>
        </w:rPr>
        <w:t xml:space="preserve"> Конституции Российской Федерации.</w:t>
      </w:r>
    </w:p>
    <w:p>
      <w:pPr>
        <w:pStyle w:val="0"/>
        <w:spacing w:before="240" w:line-rule="auto"/>
        <w:ind w:firstLine="540"/>
        <w:jc w:val="both"/>
      </w:pPr>
      <w:r>
        <w:rPr>
          <w:sz w:val="24"/>
        </w:rPr>
        <w:t xml:space="preserve">Обращаем внимание, что в соответствии с </w:t>
      </w:r>
      <w:hyperlink w:history="0" r:id="rId110" w:tooltip="Постановление Правительства РФ от 13.08.1997 N 1009 (ред. от 15.11.2024) &quot;Об утверждении Правил подготовки нормативных правовых актов федеральных органов исполнительной власти и их государственной регистрации&quot; {КонсультантПлюс}">
        <w:r>
          <w:rPr>
            <w:sz w:val="24"/>
            <w:color w:val="0000ff"/>
          </w:rPr>
          <w:t xml:space="preserve">пунктом 2</w:t>
        </w:r>
      </w:hyperlink>
      <w:r>
        <w:rPr>
          <w:sz w:val="24"/>
        </w:rPr>
        <w:t xml:space="preserve"> Правил подготовки нормативных правовых актов федеральных органов исполнительной власти и их государственной регистрации, утвержденных постановлением Правительства Российской Федерации от 13.08.1997 N 1009, письма федеральных органов исполнительной власти не являются нормативными правовыми актами.</w:t>
      </w:r>
    </w:p>
    <w:p>
      <w:pPr>
        <w:pStyle w:val="0"/>
        <w:spacing w:before="240" w:line-rule="auto"/>
        <w:ind w:firstLine="540"/>
        <w:jc w:val="both"/>
      </w:pPr>
      <w:r>
        <w:rPr>
          <w:sz w:val="24"/>
        </w:rPr>
        <w:t xml:space="preserve">Таким образом, письма Минстроя России и его структурных подразделений, в которых разъясняются вопросы применения нормативных правовых актов, не содержат правовых норм, являются позицией Минстроя России, не направлены на установление, изменение или отмену правовых норм,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w:t>
      </w:r>
    </w:p>
    <w:p>
      <w:pPr>
        <w:pStyle w:val="0"/>
        <w:ind w:firstLine="540"/>
        <w:jc w:val="both"/>
      </w:pPr>
      <w:r>
        <w:rPr>
          <w:sz w:val="24"/>
        </w:rPr>
      </w:r>
    </w:p>
    <w:p>
      <w:pPr>
        <w:pStyle w:val="0"/>
        <w:jc w:val="right"/>
      </w:pPr>
      <w:r>
        <w:rPr>
          <w:sz w:val="24"/>
        </w:rPr>
        <w:t xml:space="preserve">Заместитель директора</w:t>
      </w:r>
    </w:p>
    <w:p>
      <w:pPr>
        <w:pStyle w:val="0"/>
        <w:jc w:val="right"/>
      </w:pPr>
      <w:r>
        <w:rPr>
          <w:sz w:val="24"/>
        </w:rPr>
        <w:t xml:space="preserve">Департамента развития</w:t>
      </w:r>
    </w:p>
    <w:p>
      <w:pPr>
        <w:pStyle w:val="0"/>
        <w:jc w:val="right"/>
      </w:pPr>
      <w:r>
        <w:rPr>
          <w:sz w:val="24"/>
        </w:rPr>
        <w:t xml:space="preserve">жилищно-коммунального хозяйства</w:t>
      </w:r>
    </w:p>
    <w:p>
      <w:pPr>
        <w:pStyle w:val="0"/>
        <w:jc w:val="right"/>
      </w:pPr>
      <w:r>
        <w:rPr>
          <w:sz w:val="24"/>
        </w:rPr>
        <w:t xml:space="preserve">Д.Ю.НИФОНТОВ</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Минстроя России от 17.03.2025 N 6938-ОГ/00</w:t>
            <w:br/>
            <w:t>&lt;Об обязанностях граждан вносить плату за жилищные и коммунальные ус...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&lt;Письмо&gt; Минстроя России от 17.03.2025 N 6938-ОГ/00 &lt;Об обязанностях граждан вносить плату за жилищные и коммунальные ус...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2875&amp;date=20.03.2025&amp;demo=2" TargetMode = "External"/>
	<Relationship Id="rId7" Type="http://schemas.openxmlformats.org/officeDocument/2006/relationships/hyperlink" Target="https://login.consultant.ru/link/?req=doc&amp;base=LAW&amp;n=2875&amp;date=20.03.2025&amp;demo=2" TargetMode = "External"/>
	<Relationship Id="rId8" Type="http://schemas.openxmlformats.org/officeDocument/2006/relationships/hyperlink" Target="http://www.pravo.gov.ru" TargetMode = "External"/>
	<Relationship Id="rId9" Type="http://schemas.openxmlformats.org/officeDocument/2006/relationships/hyperlink" Target="https://login.consultant.ru/link/?req=doc&amp;base=ESU&amp;n=514&amp;date=20.03.2025&amp;demo=2" TargetMode = "External"/>
	<Relationship Id="rId10" Type="http://schemas.openxmlformats.org/officeDocument/2006/relationships/hyperlink" Target="https://login.consultant.ru/link/?req=doc&amp;base=ESU&amp;n=2&amp;date=20.03.2025&amp;demo=2" TargetMode = "External"/>
	<Relationship Id="rId11" Type="http://schemas.openxmlformats.org/officeDocument/2006/relationships/hyperlink" Target="https://login.consultant.ru/link/?req=doc&amp;base=ESU&amp;n=1739&amp;date=20.03.2025&amp;demo=2" TargetMode = "External"/>
	<Relationship Id="rId12" Type="http://schemas.openxmlformats.org/officeDocument/2006/relationships/hyperlink" Target="https://login.consultant.ru/link/?req=doc&amp;base=LAW&amp;n=30726&amp;date=20.03.2025&amp;dst=100010&amp;field=134&amp;demo=2" TargetMode = "External"/>
	<Relationship Id="rId13" Type="http://schemas.openxmlformats.org/officeDocument/2006/relationships/hyperlink" Target="https://login.consultant.ru/link/?req=doc&amp;base=ESU&amp;n=40179&amp;date=20.03.2025&amp;demo=2" TargetMode = "External"/>
	<Relationship Id="rId14" Type="http://schemas.openxmlformats.org/officeDocument/2006/relationships/hyperlink" Target="https://login.consultant.ru/link/?req=doc&amp;base=LAW&amp;n=7402&amp;date=20.03.2025&amp;demo=2" TargetMode = "External"/>
	<Relationship Id="rId15" Type="http://schemas.openxmlformats.org/officeDocument/2006/relationships/hyperlink" Target="https://login.consultant.ru/link/?req=doc&amp;base=LAW&amp;n=452771&amp;date=20.03.2025&amp;dst=100721&amp;field=134&amp;demo=2" TargetMode = "External"/>
	<Relationship Id="rId16" Type="http://schemas.openxmlformats.org/officeDocument/2006/relationships/hyperlink" Target="https://login.consultant.ru/link/?req=doc&amp;base=LAW&amp;n=482692&amp;date=20.03.2025&amp;demo=2" TargetMode = "External"/>
	<Relationship Id="rId17" Type="http://schemas.openxmlformats.org/officeDocument/2006/relationships/hyperlink" Target="https://login.consultant.ru/link/?req=doc&amp;base=LAW&amp;n=482692&amp;date=20.03.2025&amp;demo=2" TargetMode = "External"/>
	<Relationship Id="rId18" Type="http://schemas.openxmlformats.org/officeDocument/2006/relationships/hyperlink" Target="https://login.consultant.ru/link/?req=doc&amp;base=LAW&amp;n=482692&amp;date=20.03.2025&amp;demo=2" TargetMode = "External"/>
	<Relationship Id="rId19" Type="http://schemas.openxmlformats.org/officeDocument/2006/relationships/hyperlink" Target="https://login.consultant.ru/link/?req=doc&amp;base=LAW&amp;n=482692&amp;date=20.03.2025&amp;demo=2" TargetMode = "External"/>
	<Relationship Id="rId20" Type="http://schemas.openxmlformats.org/officeDocument/2006/relationships/hyperlink" Target="https://login.consultant.ru/link/?req=doc&amp;base=LAW&amp;n=482692&amp;date=20.03.2025&amp;dst=100100&amp;field=134&amp;demo=2" TargetMode = "External"/>
	<Relationship Id="rId21" Type="http://schemas.openxmlformats.org/officeDocument/2006/relationships/hyperlink" Target="https://login.consultant.ru/link/?req=doc&amp;base=LAW&amp;n=493210&amp;date=20.03.2025&amp;dst=100143&amp;field=134&amp;demo=2" TargetMode = "External"/>
	<Relationship Id="rId22" Type="http://schemas.openxmlformats.org/officeDocument/2006/relationships/hyperlink" Target="https://login.consultant.ru/link/?req=doc&amp;base=LAW&amp;n=493210&amp;date=20.03.2025&amp;dst=100144&amp;field=134&amp;demo=2" TargetMode = "External"/>
	<Relationship Id="rId23" Type="http://schemas.openxmlformats.org/officeDocument/2006/relationships/hyperlink" Target="https://login.consultant.ru/link/?req=doc&amp;base=LAW&amp;n=493210&amp;date=20.03.2025&amp;dst=41&amp;field=134&amp;demo=2" TargetMode = "External"/>
	<Relationship Id="rId24" Type="http://schemas.openxmlformats.org/officeDocument/2006/relationships/hyperlink" Target="https://login.consultant.ru/link/?req=doc&amp;base=LAW&amp;n=395021&amp;date=20.03.2025&amp;dst=100010&amp;field=134&amp;demo=2" TargetMode = "External"/>
	<Relationship Id="rId25" Type="http://schemas.openxmlformats.org/officeDocument/2006/relationships/hyperlink" Target="https://login.consultant.ru/link/?req=doc&amp;base=LAW&amp;n=493210&amp;date=20.03.2025&amp;dst=100235&amp;field=134&amp;demo=2" TargetMode = "External"/>
	<Relationship Id="rId26" Type="http://schemas.openxmlformats.org/officeDocument/2006/relationships/hyperlink" Target="https://login.consultant.ru/link/?req=doc&amp;base=LAW&amp;n=493210&amp;date=20.03.2025&amp;demo=2" TargetMode = "External"/>
	<Relationship Id="rId27" Type="http://schemas.openxmlformats.org/officeDocument/2006/relationships/hyperlink" Target="https://login.consultant.ru/link/?req=doc&amp;base=LAW&amp;n=493210&amp;date=20.03.2025&amp;dst=100241&amp;field=134&amp;demo=2" TargetMode = "External"/>
	<Relationship Id="rId28" Type="http://schemas.openxmlformats.org/officeDocument/2006/relationships/hyperlink" Target="https://login.consultant.ru/link/?req=doc&amp;base=LAW&amp;n=493210&amp;date=20.03.2025&amp;dst=100419&amp;field=134&amp;demo=2" TargetMode = "External"/>
	<Relationship Id="rId29" Type="http://schemas.openxmlformats.org/officeDocument/2006/relationships/hyperlink" Target="https://login.consultant.ru/link/?req=doc&amp;base=LAW&amp;n=493210&amp;date=20.03.2025&amp;demo=2" TargetMode = "External"/>
	<Relationship Id="rId30" Type="http://schemas.openxmlformats.org/officeDocument/2006/relationships/hyperlink" Target="https://login.consultant.ru/link/?req=doc&amp;base=LAW&amp;n=493210&amp;date=20.03.2025&amp;dst=100423&amp;field=134&amp;demo=2" TargetMode = "External"/>
	<Relationship Id="rId31" Type="http://schemas.openxmlformats.org/officeDocument/2006/relationships/hyperlink" Target="https://login.consultant.ru/link/?req=doc&amp;base=LAW&amp;n=493210&amp;date=20.03.2025&amp;demo=2" TargetMode = "External"/>
	<Relationship Id="rId32" Type="http://schemas.openxmlformats.org/officeDocument/2006/relationships/hyperlink" Target="https://login.consultant.ru/link/?req=doc&amp;base=LAW&amp;n=493210&amp;date=20.03.2025&amp;dst=36&amp;field=134&amp;demo=2" TargetMode = "External"/>
	<Relationship Id="rId33" Type="http://schemas.openxmlformats.org/officeDocument/2006/relationships/hyperlink" Target="https://login.consultant.ru/link/?req=doc&amp;base=LAW&amp;n=493210&amp;date=20.03.2025&amp;dst=1175&amp;field=134&amp;demo=2" TargetMode = "External"/>
	<Relationship Id="rId34" Type="http://schemas.openxmlformats.org/officeDocument/2006/relationships/hyperlink" Target="https://login.consultant.ru/link/?req=doc&amp;base=LAW&amp;n=493210&amp;date=20.03.2025&amp;dst=1175&amp;field=134&amp;demo=2" TargetMode = "External"/>
	<Relationship Id="rId35" Type="http://schemas.openxmlformats.org/officeDocument/2006/relationships/hyperlink" Target="https://login.consultant.ru/link/?req=doc&amp;base=LAW&amp;n=485337&amp;date=20.03.2025&amp;dst=100031&amp;field=134&amp;demo=2" TargetMode = "External"/>
	<Relationship Id="rId36" Type="http://schemas.openxmlformats.org/officeDocument/2006/relationships/hyperlink" Target="https://login.consultant.ru/link/?req=doc&amp;base=LAW&amp;n=485337&amp;date=20.03.2025&amp;dst=131&amp;field=134&amp;demo=2" TargetMode = "External"/>
	<Relationship Id="rId37" Type="http://schemas.openxmlformats.org/officeDocument/2006/relationships/hyperlink" Target="https://login.consultant.ru/link/?req=doc&amp;base=LAW&amp;n=485337&amp;date=20.03.2025&amp;dst=100031&amp;field=134&amp;demo=2" TargetMode = "External"/>
	<Relationship Id="rId38" Type="http://schemas.openxmlformats.org/officeDocument/2006/relationships/hyperlink" Target="https://login.consultant.ru/link/?req=doc&amp;base=LAW&amp;n=485337&amp;date=20.03.2025&amp;dst=100067&amp;field=134&amp;demo=2" TargetMode = "External"/>
	<Relationship Id="rId39" Type="http://schemas.openxmlformats.org/officeDocument/2006/relationships/hyperlink" Target="https://login.consultant.ru/link/?req=doc&amp;base=LAW&amp;n=485337&amp;date=20.03.2025&amp;dst=101181&amp;field=134&amp;demo=2" TargetMode = "External"/>
	<Relationship Id="rId40" Type="http://schemas.openxmlformats.org/officeDocument/2006/relationships/hyperlink" Target="https://login.consultant.ru/link/?req=doc&amp;base=LAW&amp;n=482692&amp;date=20.03.2025&amp;dst=101130&amp;field=134&amp;demo=2" TargetMode = "External"/>
	<Relationship Id="rId41" Type="http://schemas.openxmlformats.org/officeDocument/2006/relationships/hyperlink" Target="https://login.consultant.ru/link/?req=doc&amp;base=LAW&amp;n=493210&amp;date=20.03.2025&amp;dst=100234&amp;field=134&amp;demo=2" TargetMode = "External"/>
	<Relationship Id="rId42" Type="http://schemas.openxmlformats.org/officeDocument/2006/relationships/hyperlink" Target="https://login.consultant.ru/link/?req=doc&amp;base=LAW&amp;n=493210&amp;date=20.03.2025&amp;dst=100284&amp;field=134&amp;demo=2" TargetMode = "External"/>
	<Relationship Id="rId43" Type="http://schemas.openxmlformats.org/officeDocument/2006/relationships/hyperlink" Target="https://login.consultant.ru/link/?req=doc&amp;base=LAW&amp;n=493210&amp;date=20.03.2025&amp;dst=100900&amp;field=134&amp;demo=2" TargetMode = "External"/>
	<Relationship Id="rId44" Type="http://schemas.openxmlformats.org/officeDocument/2006/relationships/hyperlink" Target="https://login.consultant.ru/link/?req=doc&amp;base=LAW&amp;n=493210&amp;date=20.03.2025&amp;dst=100941&amp;field=134&amp;demo=2" TargetMode = "External"/>
	<Relationship Id="rId45" Type="http://schemas.openxmlformats.org/officeDocument/2006/relationships/hyperlink" Target="https://login.consultant.ru/link/?req=doc&amp;base=LAW&amp;n=493210&amp;date=20.03.2025&amp;dst=100282&amp;field=134&amp;demo=2" TargetMode = "External"/>
	<Relationship Id="rId46" Type="http://schemas.openxmlformats.org/officeDocument/2006/relationships/hyperlink" Target="https://login.consultant.ru/link/?req=doc&amp;base=LAW&amp;n=493210&amp;date=20.03.2025&amp;dst=100892&amp;field=134&amp;demo=2" TargetMode = "External"/>
	<Relationship Id="rId47" Type="http://schemas.openxmlformats.org/officeDocument/2006/relationships/hyperlink" Target="https://login.consultant.ru/link/?req=doc&amp;base=LAW&amp;n=493210&amp;date=20.03.2025&amp;dst=100900&amp;field=134&amp;demo=2" TargetMode = "External"/>
	<Relationship Id="rId48" Type="http://schemas.openxmlformats.org/officeDocument/2006/relationships/hyperlink" Target="https://login.consultant.ru/link/?req=doc&amp;base=LAW&amp;n=493210&amp;date=20.03.2025&amp;dst=683&amp;field=134&amp;demo=2" TargetMode = "External"/>
	<Relationship Id="rId49" Type="http://schemas.openxmlformats.org/officeDocument/2006/relationships/hyperlink" Target="https://login.consultant.ru/link/?req=doc&amp;base=LAW&amp;n=493210&amp;date=20.03.2025&amp;dst=101496&amp;field=134&amp;demo=2" TargetMode = "External"/>
	<Relationship Id="rId50" Type="http://schemas.openxmlformats.org/officeDocument/2006/relationships/hyperlink" Target="https://login.consultant.ru/link/?req=doc&amp;base=LAW&amp;n=486149&amp;date=20.03.2025&amp;dst=100207&amp;field=134&amp;demo=2" TargetMode = "External"/>
	<Relationship Id="rId51" Type="http://schemas.openxmlformats.org/officeDocument/2006/relationships/hyperlink" Target="https://login.consultant.ru/link/?req=doc&amp;base=LAW&amp;n=493210&amp;date=20.03.2025&amp;dst=101505&amp;field=134&amp;demo=2" TargetMode = "External"/>
	<Relationship Id="rId52" Type="http://schemas.openxmlformats.org/officeDocument/2006/relationships/hyperlink" Target="https://login.consultant.ru/link/?req=doc&amp;base=LAW&amp;n=493210&amp;date=20.03.2025&amp;dst=100936&amp;field=134&amp;demo=2" TargetMode = "External"/>
	<Relationship Id="rId53" Type="http://schemas.openxmlformats.org/officeDocument/2006/relationships/hyperlink" Target="https://login.consultant.ru/link/?req=doc&amp;base=LAW&amp;n=493210&amp;date=20.03.2025&amp;demo=2" TargetMode = "External"/>
	<Relationship Id="rId54" Type="http://schemas.openxmlformats.org/officeDocument/2006/relationships/hyperlink" Target="https://login.consultant.ru/link/?req=doc&amp;base=LAW&amp;n=485337&amp;date=20.03.2025&amp;dst=100328&amp;field=134&amp;demo=2" TargetMode = "External"/>
	<Relationship Id="rId55" Type="http://schemas.openxmlformats.org/officeDocument/2006/relationships/hyperlink" Target="https://login.consultant.ru/link/?req=doc&amp;base=LAW&amp;n=297915&amp;date=20.03.2025&amp;dst=100012&amp;field=134&amp;demo=2" TargetMode = "External"/>
	<Relationship Id="rId56" Type="http://schemas.openxmlformats.org/officeDocument/2006/relationships/hyperlink" Target="https://login.consultant.ru/link/?req=doc&amp;base=LAW&amp;n=485337&amp;date=20.03.2025&amp;dst=100031&amp;field=134&amp;demo=2" TargetMode = "External"/>
	<Relationship Id="rId57" Type="http://schemas.openxmlformats.org/officeDocument/2006/relationships/hyperlink" Target="https://login.consultant.ru/link/?req=doc&amp;base=LAW&amp;n=297915&amp;date=20.03.2025&amp;demo=2" TargetMode = "External"/>
	<Relationship Id="rId58" Type="http://schemas.openxmlformats.org/officeDocument/2006/relationships/hyperlink" Target="https://login.consultant.ru/link/?req=doc&amp;base=LAW&amp;n=485337&amp;date=20.03.2025&amp;dst=100031&amp;field=134&amp;demo=2" TargetMode = "External"/>
	<Relationship Id="rId59" Type="http://schemas.openxmlformats.org/officeDocument/2006/relationships/hyperlink" Target="https://login.consultant.ru/link/?req=doc&amp;base=LAW&amp;n=297915&amp;date=20.03.2025&amp;demo=2" TargetMode = "External"/>
	<Relationship Id="rId60" Type="http://schemas.openxmlformats.org/officeDocument/2006/relationships/hyperlink" Target="https://login.consultant.ru/link/?req=doc&amp;base=LAW&amp;n=482692&amp;date=20.03.2025&amp;dst=102061&amp;field=134&amp;demo=2" TargetMode = "External"/>
	<Relationship Id="rId61" Type="http://schemas.openxmlformats.org/officeDocument/2006/relationships/hyperlink" Target="https://login.consultant.ru/link/?req=doc&amp;base=LAW&amp;n=493210&amp;date=20.03.2025&amp;dst=884&amp;field=134&amp;demo=2" TargetMode = "External"/>
	<Relationship Id="rId62" Type="http://schemas.openxmlformats.org/officeDocument/2006/relationships/hyperlink" Target="https://login.consultant.ru/link/?req=doc&amp;base=LAW&amp;n=485337&amp;date=20.03.2025&amp;dst=100204&amp;field=134&amp;demo=2" TargetMode = "External"/>
	<Relationship Id="rId63" Type="http://schemas.openxmlformats.org/officeDocument/2006/relationships/hyperlink" Target="https://login.consultant.ru/link/?req=doc&amp;base=LAW&amp;n=485337&amp;date=20.03.2025&amp;dst=100316&amp;field=134&amp;demo=2" TargetMode = "External"/>
	<Relationship Id="rId64" Type="http://schemas.openxmlformats.org/officeDocument/2006/relationships/hyperlink" Target="https://login.consultant.ru/link/?req=doc&amp;base=LAW&amp;n=493210&amp;date=20.03.2025&amp;demo=2" TargetMode = "External"/>
	<Relationship Id="rId65" Type="http://schemas.openxmlformats.org/officeDocument/2006/relationships/hyperlink" Target="https://login.consultant.ru/link/?req=doc&amp;base=LAW&amp;n=473303&amp;date=20.03.2025&amp;dst=39&amp;field=134&amp;demo=2" TargetMode = "External"/>
	<Relationship Id="rId66" Type="http://schemas.openxmlformats.org/officeDocument/2006/relationships/hyperlink" Target="https://login.consultant.ru/link/?req=doc&amp;base=LAW&amp;n=493210&amp;date=20.03.2025&amp;demo=2" TargetMode = "External"/>
	<Relationship Id="rId67" Type="http://schemas.openxmlformats.org/officeDocument/2006/relationships/hyperlink" Target="https://login.consultant.ru/link/?req=doc&amp;base=LAW&amp;n=473303&amp;date=20.03.2025&amp;dst=40&amp;field=134&amp;demo=2" TargetMode = "External"/>
	<Relationship Id="rId68" Type="http://schemas.openxmlformats.org/officeDocument/2006/relationships/hyperlink" Target="https://login.consultant.ru/link/?req=doc&amp;base=LAW&amp;n=473303&amp;date=20.03.2025&amp;dst=7&amp;field=134&amp;demo=2" TargetMode = "External"/>
	<Relationship Id="rId69" Type="http://schemas.openxmlformats.org/officeDocument/2006/relationships/hyperlink" Target="https://login.consultant.ru/link/?req=doc&amp;base=LAW&amp;n=473303&amp;date=20.03.2025&amp;dst=151&amp;field=134&amp;demo=2" TargetMode = "External"/>
	<Relationship Id="rId70" Type="http://schemas.openxmlformats.org/officeDocument/2006/relationships/hyperlink" Target="https://login.consultant.ru/link/?req=doc&amp;base=LAW&amp;n=473303&amp;date=20.03.2025&amp;dst=16&amp;field=134&amp;demo=2" TargetMode = "External"/>
	<Relationship Id="rId71" Type="http://schemas.openxmlformats.org/officeDocument/2006/relationships/hyperlink" Target="https://login.consultant.ru/link/?req=doc&amp;base=LAW&amp;n=473303&amp;date=20.03.2025&amp;dst=19&amp;field=134&amp;demo=2" TargetMode = "External"/>
	<Relationship Id="rId72" Type="http://schemas.openxmlformats.org/officeDocument/2006/relationships/hyperlink" Target="https://login.consultant.ru/link/?req=doc&amp;base=LAW&amp;n=493210&amp;date=20.03.2025&amp;demo=2" TargetMode = "External"/>
	<Relationship Id="rId73" Type="http://schemas.openxmlformats.org/officeDocument/2006/relationships/hyperlink" Target="https://login.consultant.ru/link/?req=doc&amp;base=LAW&amp;n=488061&amp;date=20.03.2025&amp;dst=106307&amp;field=134&amp;demo=2" TargetMode = "External"/>
	<Relationship Id="rId74" Type="http://schemas.openxmlformats.org/officeDocument/2006/relationships/hyperlink" Target="https://login.consultant.ru/link/?req=doc&amp;base=LAW&amp;n=473303&amp;date=20.03.2025&amp;dst=21&amp;field=134&amp;demo=2" TargetMode = "External"/>
	<Relationship Id="rId75" Type="http://schemas.openxmlformats.org/officeDocument/2006/relationships/hyperlink" Target="https://login.consultant.ru/link/?req=doc&amp;base=LAW&amp;n=488061&amp;date=20.03.2025&amp;dst=101107&amp;field=134&amp;demo=2" TargetMode = "External"/>
	<Relationship Id="rId76" Type="http://schemas.openxmlformats.org/officeDocument/2006/relationships/hyperlink" Target="https://login.consultant.ru/link/?req=doc&amp;base=LAW&amp;n=488061&amp;date=20.03.2025&amp;dst=101110&amp;field=134&amp;demo=2" TargetMode = "External"/>
	<Relationship Id="rId77" Type="http://schemas.openxmlformats.org/officeDocument/2006/relationships/hyperlink" Target="https://login.consultant.ru/link/?req=doc&amp;base=LAW&amp;n=2875&amp;date=20.03.2025&amp;dst=30&amp;field=134&amp;demo=2" TargetMode = "External"/>
	<Relationship Id="rId78" Type="http://schemas.openxmlformats.org/officeDocument/2006/relationships/hyperlink" Target="https://login.consultant.ru/link/?req=doc&amp;base=LAW&amp;n=494992&amp;date=20.03.2025&amp;dst=100229&amp;field=134&amp;demo=2" TargetMode = "External"/>
	<Relationship Id="rId79" Type="http://schemas.openxmlformats.org/officeDocument/2006/relationships/hyperlink" Target="https://login.consultant.ru/link/?req=doc&amp;base=LAW&amp;n=494992&amp;date=20.03.2025&amp;dst=100231&amp;field=134&amp;demo=2" TargetMode = "External"/>
	<Relationship Id="rId80" Type="http://schemas.openxmlformats.org/officeDocument/2006/relationships/hyperlink" Target="https://login.consultant.ru/link/?req=doc&amp;base=LAW&amp;n=490999&amp;date=20.03.2025&amp;dst=101674&amp;field=134&amp;demo=2" TargetMode = "External"/>
	<Relationship Id="rId81" Type="http://schemas.openxmlformats.org/officeDocument/2006/relationships/hyperlink" Target="https://login.consultant.ru/link/?req=doc&amp;base=LAW&amp;n=490999&amp;date=20.03.2025&amp;dst=101675&amp;field=134&amp;demo=2" TargetMode = "External"/>
	<Relationship Id="rId82" Type="http://schemas.openxmlformats.org/officeDocument/2006/relationships/hyperlink" Target="https://login.consultant.ru/link/?req=doc&amp;base=LAW&amp;n=47309&amp;date=20.03.2025&amp;dst=100007&amp;field=134&amp;demo=2" TargetMode = "External"/>
	<Relationship Id="rId83" Type="http://schemas.openxmlformats.org/officeDocument/2006/relationships/hyperlink" Target="https://login.consultant.ru/link/?req=doc&amp;base=LAW&amp;n=488061&amp;date=20.03.2025&amp;dst=108240&amp;field=134&amp;demo=2" TargetMode = "External"/>
	<Relationship Id="rId84" Type="http://schemas.openxmlformats.org/officeDocument/2006/relationships/hyperlink" Target="https://login.consultant.ru/link/?req=doc&amp;base=LAW&amp;n=490999&amp;date=20.03.2025&amp;demo=2" TargetMode = "External"/>
	<Relationship Id="rId85" Type="http://schemas.openxmlformats.org/officeDocument/2006/relationships/hyperlink" Target="https://login.consultant.ru/link/?req=doc&amp;base=LAW&amp;n=2875&amp;date=20.03.2025&amp;demo=2" TargetMode = "External"/>
	<Relationship Id="rId86" Type="http://schemas.openxmlformats.org/officeDocument/2006/relationships/hyperlink" Target="https://login.consultant.ru/link/?req=doc&amp;base=LAW&amp;n=490999&amp;date=20.03.2025&amp;dst=101674&amp;field=134&amp;demo=2" TargetMode = "External"/>
	<Relationship Id="rId87" Type="http://schemas.openxmlformats.org/officeDocument/2006/relationships/hyperlink" Target="https://login.consultant.ru/link/?req=doc&amp;base=LAW&amp;n=493210&amp;date=20.03.2025&amp;dst=101096&amp;field=134&amp;demo=2" TargetMode = "External"/>
	<Relationship Id="rId88" Type="http://schemas.openxmlformats.org/officeDocument/2006/relationships/hyperlink" Target="https://login.consultant.ru/link/?req=doc&amp;base=LAW&amp;n=485337&amp;date=20.03.2025&amp;dst=578&amp;field=134&amp;demo=2" TargetMode = "External"/>
	<Relationship Id="rId89" Type="http://schemas.openxmlformats.org/officeDocument/2006/relationships/hyperlink" Target="https://login.consultant.ru/link/?req=doc&amp;base=LAW&amp;n=493210&amp;date=20.03.2025&amp;dst=614&amp;field=134&amp;demo=2" TargetMode = "External"/>
	<Relationship Id="rId90" Type="http://schemas.openxmlformats.org/officeDocument/2006/relationships/hyperlink" Target="https://login.consultant.ru/link/?req=doc&amp;base=LAW&amp;n=485337&amp;date=20.03.2025&amp;dst=101326&amp;field=134&amp;demo=2" TargetMode = "External"/>
	<Relationship Id="rId91" Type="http://schemas.openxmlformats.org/officeDocument/2006/relationships/hyperlink" Target="https://login.consultant.ru/link/?req=doc&amp;base=LAW&amp;n=485337&amp;date=20.03.2025&amp;dst=100031&amp;field=134&amp;demo=2" TargetMode = "External"/>
	<Relationship Id="rId92" Type="http://schemas.openxmlformats.org/officeDocument/2006/relationships/hyperlink" Target="https://login.consultant.ru/link/?req=doc&amp;base=LAW&amp;n=485337&amp;date=20.03.2025&amp;dst=684&amp;field=134&amp;demo=2" TargetMode = "External"/>
	<Relationship Id="rId93" Type="http://schemas.openxmlformats.org/officeDocument/2006/relationships/hyperlink" Target="https://login.consultant.ru/link/?req=doc&amp;base=LAW&amp;n=485337&amp;date=20.03.2025&amp;dst=100570&amp;field=134&amp;demo=2" TargetMode = "External"/>
	<Relationship Id="rId94" Type="http://schemas.openxmlformats.org/officeDocument/2006/relationships/hyperlink" Target="https://login.consultant.ru/link/?req=doc&amp;base=LAW&amp;n=388611&amp;date=20.03.2025&amp;demo=2" TargetMode = "External"/>
	<Relationship Id="rId95" Type="http://schemas.openxmlformats.org/officeDocument/2006/relationships/hyperlink" Target="https://login.consultant.ru/link/?req=doc&amp;base=LAW&amp;n=495132&amp;date=20.03.2025&amp;dst=102111&amp;field=134&amp;demo=2" TargetMode = "External"/>
	<Relationship Id="rId96" Type="http://schemas.openxmlformats.org/officeDocument/2006/relationships/hyperlink" Target="https://login.consultant.ru/link/?req=doc&amp;base=LAW&amp;n=483038&amp;date=20.03.2025&amp;demo=2" TargetMode = "External"/>
	<Relationship Id="rId97" Type="http://schemas.openxmlformats.org/officeDocument/2006/relationships/hyperlink" Target="https://login.consultant.ru/link/?req=doc&amp;base=LAW&amp;n=495132&amp;date=20.03.2025&amp;dst=100569&amp;field=134&amp;demo=2" TargetMode = "External"/>
	<Relationship Id="rId98" Type="http://schemas.openxmlformats.org/officeDocument/2006/relationships/hyperlink" Target="https://login.consultant.ru/link/?req=doc&amp;base=LAW&amp;n=482692&amp;date=20.03.2025&amp;dst=509&amp;field=134&amp;demo=2" TargetMode = "External"/>
	<Relationship Id="rId99" Type="http://schemas.openxmlformats.org/officeDocument/2006/relationships/hyperlink" Target="https://login.consultant.ru/link/?req=doc&amp;base=LAW&amp;n=482692&amp;date=20.03.2025&amp;dst=514&amp;field=134&amp;demo=2" TargetMode = "External"/>
	<Relationship Id="rId100" Type="http://schemas.openxmlformats.org/officeDocument/2006/relationships/hyperlink" Target="https://login.consultant.ru/link/?req=doc&amp;base=LAW&amp;n=493210&amp;date=20.03.2025&amp;dst=101096&amp;field=134&amp;demo=2" TargetMode = "External"/>
	<Relationship Id="rId101" Type="http://schemas.openxmlformats.org/officeDocument/2006/relationships/hyperlink" Target="https://login.consultant.ru/link/?req=doc&amp;base=LAW&amp;n=482692&amp;date=20.03.2025&amp;dst=516&amp;field=134&amp;demo=2" TargetMode = "External"/>
	<Relationship Id="rId102" Type="http://schemas.openxmlformats.org/officeDocument/2006/relationships/hyperlink" Target="https://login.consultant.ru/link/?req=doc&amp;base=LAW&amp;n=298128&amp;date=20.03.2025&amp;demo=2" TargetMode = "External"/>
	<Relationship Id="rId103" Type="http://schemas.openxmlformats.org/officeDocument/2006/relationships/hyperlink" Target="https://login.consultant.ru/link/?req=doc&amp;base=LAW&amp;n=298128&amp;date=20.03.2025&amp;demo=2" TargetMode = "External"/>
	<Relationship Id="rId104" Type="http://schemas.openxmlformats.org/officeDocument/2006/relationships/hyperlink" Target="https://login.consultant.ru/link/?req=doc&amp;base=LAW&amp;n=298128&amp;date=20.03.2025&amp;demo=2" TargetMode = "External"/>
	<Relationship Id="rId105" Type="http://schemas.openxmlformats.org/officeDocument/2006/relationships/hyperlink" Target="https://login.consultant.ru/link/?req=doc&amp;base=LAW&amp;n=298128&amp;date=20.03.2025&amp;demo=2" TargetMode = "External"/>
	<Relationship Id="rId106" Type="http://schemas.openxmlformats.org/officeDocument/2006/relationships/hyperlink" Target="https://login.consultant.ru/link/?req=doc&amp;base=LAW&amp;n=298128&amp;date=20.03.2025&amp;demo=2" TargetMode = "External"/>
	<Relationship Id="rId107" Type="http://schemas.openxmlformats.org/officeDocument/2006/relationships/hyperlink" Target="https://login.consultant.ru/link/?req=doc&amp;base=LAW&amp;n=493210&amp;date=20.03.2025&amp;dst=100946&amp;field=134&amp;demo=2" TargetMode = "External"/>
	<Relationship Id="rId108" Type="http://schemas.openxmlformats.org/officeDocument/2006/relationships/hyperlink" Target="https://login.consultant.ru/link/?req=doc&amp;base=LAW&amp;n=298128&amp;date=20.03.2025&amp;demo=2" TargetMode = "External"/>
	<Relationship Id="rId109" Type="http://schemas.openxmlformats.org/officeDocument/2006/relationships/hyperlink" Target="https://login.consultant.ru/link/?req=doc&amp;base=LAW&amp;n=2875&amp;date=20.03.2025&amp;dst=100178&amp;field=134&amp;demo=2" TargetMode = "External"/>
	<Relationship Id="rId110" Type="http://schemas.openxmlformats.org/officeDocument/2006/relationships/hyperlink" Target="https://login.consultant.ru/link/?req=doc&amp;base=LAW&amp;n=490536&amp;date=20.03.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Минстроя России от 17.03.2025 N 6938-ОГ/00
&lt;Об обязанностях граждан вносить плату за жилищные и коммунальные услуги&gt;</dc:title>
  <dcterms:created xsi:type="dcterms:W3CDTF">2025-03-20T14:37:07Z</dcterms:created>
</cp:coreProperties>
</file>