
<file path=[Content_Types].xml><?xml version="1.0" encoding="utf-8"?>
<Types xmlns="http://schemas.openxmlformats.org/package/2006/content-types">
  <Default Extension="png" ContentType="image/png"/>
  <Default Extension="jpeg" ContentType="image/jpeg"/>
  <Default Extension="bmp" ContentType="image/bmp"/>
  <Default Extension="rels" ContentType="application/vnd.openxmlformats-package.relationships+xml"/>
  <Default Extension="xml" ContentType="application/xml"/>
  <Default Extension="emf" ContentType="image/x-emf"/>
  <Default Extension="wmf" ContentType="image/x-wmf"/>
  <Override PartName="/word/document.xml" ContentType="application/vnd.openxmlformats-officedocument.wordprocessingml.document.main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 standalone="yes"?>
<Relationships xmlns="http://schemas.openxmlformats.org/package/2006/relationships">
	<Relationship Id="rId1" Type="http://schemas.openxmlformats.org/officeDocument/2006/relationships/officeDocument" Target="word/document.xml"/>
	<Relationship Id="rId2" Type="http://schemas.openxmlformats.org/package/2006/relationships/metadata/core-properties" Target="docProps/core.xml"/>
	<Relationship Id="rId3" Type="http://schemas.openxmlformats.org/officeDocument/2006/relationships/extended-properties" Target="docProps/app.xml"/>
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Ind w:w="0" w:type="dxa"/>
        <w:tblW w:w="5000" w:type="pct"/>
        <w:tblBorders>
          <w:top w:val="nil"/>
          <w:left w:val="nil"/>
          <w:bottom w:val="nil"/>
          <w:right w:val="nil"/>
          <w:insideV w:val="nil"/>
          <w:insideH w:val="nil"/>
        </w:tblBorders>
      </w:tblPr>
      <w:tblGrid>
        <w:gridCol w:w="10716"/>
      </w:tblGrid>
      <w:tr>
        <w:trPr>
          <w:trHeight w:val="3031" w:hRule="exact"/>
        </w:trPr>
        <w:tblPrEx>
          <w:tblBorders>
            <w:top w:val="nil"/>
            <w:left w:val="nil"/>
            <w:bottom w:val="nil"/>
            <w:right w:val="nil"/>
            <w:insideV w:val="nil"/>
            <w:insideH w:val="nil"/>
          </w:tblBorders>
        </w:tblPrEx>
        <w:tc>
          <w:tcPr>
            <w:tcW w:w="10716" w:type="dxa"/>
            <w:tcMar>
              <w:top w:w="60" w:type="dxa"/>
              <w:left w:w="80" w:type="dxa"/>
              <w:bottom w:w="60" w:type="dxa"/>
              <w:right w:w="80" w:type="dxa"/>
            </w:tcMar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5"/>
            </w:pPr>
            <w:r>
              <w:rPr>
                <w:position w:val="-61"/>
              </w:rPr>
              <w:drawing>
                <wp:inline distT="0" distB="0" distL="0" distR="0">
                  <wp:extent cx="3810000" cy="904875"/>
                  <wp:effectExtent l="0" t="0" r="0" b="0"/>
                  <wp:docPr id="1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 preferRelativeResize="0"/>
                        </pic:nvPicPr>
                        <pic:blipFill>
                          <a:blip r:embed="rId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810000" cy="9048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rPr>
          <w:trHeight w:val="8335" w:hRule="exact"/>
        </w:trPr>
        <w:tblPrEx>
          <w:tblBorders>
            <w:top w:val="nil"/>
            <w:left w:val="nil"/>
            <w:bottom w:val="nil"/>
            <w:right w:val="nil"/>
            <w:insideV w:val="nil"/>
            <w:insideH w:val="nil"/>
          </w:tblBorders>
        </w:tblPrEx>
        <w:tc>
          <w:tcPr>
            <w:tcW w:w="10716" w:type="dxa"/>
            <w:vAlign w:val="center"/>
            <w:tcMar>
              <w:top w:w="60" w:type="dxa"/>
              <w:left w:w="80" w:type="dxa"/>
              <w:bottom w:w="60" w:type="dxa"/>
              <w:right w:w="80" w:type="dxa"/>
            </w:tcMar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5"/>
              <w:jc w:val="center"/>
            </w:pPr>
            <w:r>
              <w:rPr>
                <w:sz w:val="48"/>
              </w:rPr>
              <w:t xml:space="preserve">Постановление Правительства РФ от 20.03.2025 N 337</w:t>
              <w:br/>
              <w:t xml:space="preserve">"Об утверждении Правил осуществления единовременной выплаты некоторым категориям граждан Российской Федерации в связи с 80-й годовщиной Победы в Великой Отечественной войне 1941 - 1945 годов"</w:t>
            </w:r>
          </w:p>
        </w:tc>
      </w:tr>
      <w:tr>
        <w:trPr>
          <w:trHeight w:val="3031" w:hRule="exact"/>
        </w:trPr>
        <w:tblPrEx>
          <w:tblBorders>
            <w:top w:val="nil"/>
            <w:left w:val="nil"/>
            <w:bottom w:val="nil"/>
            <w:right w:val="nil"/>
            <w:insideV w:val="nil"/>
            <w:insideH w:val="nil"/>
          </w:tblBorders>
        </w:tblPrEx>
        <w:tc>
          <w:tcPr>
            <w:tcW w:w="10716" w:type="dxa"/>
            <w:vAlign w:val="center"/>
            <w:tcMar>
              <w:top w:w="60" w:type="dxa"/>
              <w:left w:w="80" w:type="dxa"/>
              <w:bottom w:w="60" w:type="dxa"/>
              <w:right w:w="80" w:type="dxa"/>
            </w:tcMar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5"/>
              <w:jc w:val="center"/>
            </w:pPr>
            <w:r>
              <w:rPr>
                <w:sz w:val="28"/>
              </w:rPr>
              <w:t xml:space="preserve">Документ предоставлен </w:t>
            </w:r>
            <w:hyperlink w:history="0" r:id="rId3" w:tooltip="Ссылка на КонсультантПлюс">
              <w:r>
                <w:rPr>
                  <w:sz w:val="28"/>
                  <w:color w:val="0000ff"/>
                  <w:b w:val="on"/>
                </w:rPr>
                <w:t xml:space="preserve">КонсультантПлюс</w:t>
                <w:br/>
                <w:br/>
              </w:r>
            </w:hyperlink>
            <w:hyperlink w:history="0" r:id="rId4" w:tooltip="Ссылка на КонсультантПлюс">
              <w:r>
                <w:rPr>
                  <w:sz w:val="28"/>
                  <w:color w:val="0000ff"/>
                  <w:b w:val="on"/>
                </w:rPr>
                <w:t xml:space="preserve">www.consultant.ru</w:t>
              </w:r>
            </w:hyperlink>
            <w:r>
              <w:rPr>
                <w:sz w:val="28"/>
              </w:rPr>
              <w:br/>
              <w:br/>
              <w:t xml:space="preserve">Дата сохранения: 21.03.2025</w:t>
            </w:r>
            <w:r>
              <w:rPr>
                <w:sz w:val="28"/>
              </w:rPr>
              <w:br/>
              <w:t xml:space="preserve"> </w:t>
            </w:r>
          </w:p>
        </w:tc>
      </w:tr>
    </w:tbl>
    <w:p>
      <w:pPr>
        <w:sectPr>
          <w:pgSz w:w="11906" w:h="16838"/>
          <w:pgMar w:top="841" w:right="595" w:bottom="841" w:left="595" w:header="0" w:footer="0" w:gutter="0"/>
          <w:titlePg/>
        </w:sectPr>
      </w:pPr>
    </w:p>
    <w:p>
      <w:pPr>
        <w:pStyle w:val="0"/>
        <w:outlineLvl w:val="0"/>
        <w:jc w:val="both"/>
      </w:pPr>
      <w:r>
        <w:rPr>
          <w:sz w:val="24"/>
        </w:rPr>
      </w:r>
    </w:p>
    <w:p>
      <w:pPr>
        <w:pStyle w:val="2"/>
        <w:outlineLvl w:val="0"/>
        <w:jc w:val="center"/>
      </w:pPr>
      <w:r>
        <w:rPr>
          <w:sz w:val="24"/>
        </w:rPr>
        <w:t xml:space="preserve">ПРАВИТЕЛЬСТВО РОССИЙСКОЙ ФЕДЕРАЦИИ</w:t>
      </w:r>
    </w:p>
    <w:p>
      <w:pPr>
        <w:pStyle w:val="2"/>
        <w:jc w:val="center"/>
      </w:pPr>
      <w:r>
        <w:rPr>
          <w:sz w:val="24"/>
        </w:rPr>
      </w:r>
    </w:p>
    <w:p>
      <w:pPr>
        <w:pStyle w:val="2"/>
        <w:jc w:val="center"/>
      </w:pPr>
      <w:r>
        <w:rPr>
          <w:sz w:val="24"/>
        </w:rPr>
        <w:t xml:space="preserve">ПОСТАНОВЛЕНИЕ</w:t>
      </w:r>
    </w:p>
    <w:p>
      <w:pPr>
        <w:pStyle w:val="2"/>
        <w:jc w:val="center"/>
      </w:pPr>
      <w:r>
        <w:rPr>
          <w:sz w:val="24"/>
        </w:rPr>
        <w:t xml:space="preserve">от 20 марта 2025 г. N 337</w:t>
      </w:r>
    </w:p>
    <w:p>
      <w:pPr>
        <w:pStyle w:val="2"/>
        <w:jc w:val="center"/>
      </w:pPr>
      <w:r>
        <w:rPr>
          <w:sz w:val="24"/>
        </w:rPr>
      </w:r>
    </w:p>
    <w:p>
      <w:pPr>
        <w:pStyle w:val="2"/>
        <w:jc w:val="center"/>
      </w:pPr>
      <w:r>
        <w:rPr>
          <w:sz w:val="24"/>
        </w:rPr>
        <w:t xml:space="preserve">ОБ УТВЕРЖДЕНИИ ПРАВИЛ</w:t>
      </w:r>
    </w:p>
    <w:p>
      <w:pPr>
        <w:pStyle w:val="2"/>
        <w:jc w:val="center"/>
      </w:pPr>
      <w:r>
        <w:rPr>
          <w:sz w:val="24"/>
        </w:rPr>
        <w:t xml:space="preserve">ОСУЩЕСТВЛЕНИЯ ЕДИНОВРЕМЕННОЙ ВЫПЛАТЫ НЕКОТОРЫМ КАТЕГОРИЯМ</w:t>
      </w:r>
    </w:p>
    <w:p>
      <w:pPr>
        <w:pStyle w:val="2"/>
        <w:jc w:val="center"/>
      </w:pPr>
      <w:r>
        <w:rPr>
          <w:sz w:val="24"/>
        </w:rPr>
        <w:t xml:space="preserve">ГРАЖДАН РОССИЙСКОЙ ФЕДЕРАЦИИ В СВЯЗИ С 80-Й ГОДОВЩИНОЙ</w:t>
      </w:r>
    </w:p>
    <w:p>
      <w:pPr>
        <w:pStyle w:val="2"/>
        <w:jc w:val="center"/>
      </w:pPr>
      <w:r>
        <w:rPr>
          <w:sz w:val="24"/>
        </w:rPr>
        <w:t xml:space="preserve">ПОБЕДЫ В ВЕЛИКОЙ ОТЕЧЕСТВЕННОЙ ВОЙНЕ 1941 - 1945 ГОДОВ</w:t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  <w:t xml:space="preserve">В соответствии с </w:t>
      </w:r>
      <w:hyperlink w:history="0" r:id="rId7" w:tooltip="Указ Президента РФ от 15.01.2025 N 15 &quot;О единовременной выплате некоторым категориям граждан Российской Федерации в связи с 80-й годовщиной Победы в Великой Отечественной войне 1941 - 1945 годов&quot; {КонсультантПлюс}">
        <w:r>
          <w:rPr>
            <w:sz w:val="24"/>
            <w:color w:val="0000ff"/>
          </w:rPr>
          <w:t xml:space="preserve">пунктом 2</w:t>
        </w:r>
      </w:hyperlink>
      <w:r>
        <w:rPr>
          <w:sz w:val="24"/>
        </w:rPr>
        <w:t xml:space="preserve"> Указа Президента Российской Федерации от 15 января 2025 г. N 15 "О единовременной выплате некоторым категориям граждан Российской Федерации в связи с 80-й годовщиной Победы в Великой Отечественной войне 1941 - 1945 годов" Правительство Российской Федерации постановляет: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1. Утвердить прилагаемые </w:t>
      </w:r>
      <w:hyperlink w:history="0" w:anchor="P31" w:tooltip="ПРАВИЛА">
        <w:r>
          <w:rPr>
            <w:sz w:val="24"/>
            <w:color w:val="0000ff"/>
          </w:rPr>
          <w:t xml:space="preserve">Правила</w:t>
        </w:r>
      </w:hyperlink>
      <w:r>
        <w:rPr>
          <w:sz w:val="24"/>
        </w:rPr>
        <w:t xml:space="preserve"> осуществления единовременной выплаты некоторым категориям граждан Российской Федерации в связи с 80-й годовщиной Победы в Великой Отечественной войне 1941 - 1945 годов.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2. Финансовое обеспечение расходов, связанных с осуществлением единовременной выплаты в связи с 80-й годовщиной Победы в Великой Отечественной войне 1941 - 1945 годов гражданам, указанным в </w:t>
      </w:r>
      <w:hyperlink w:history="0" w:anchor="P37" w:tooltip="2. Единовременная выплата осуществляется:">
        <w:r>
          <w:rPr>
            <w:sz w:val="24"/>
            <w:color w:val="0000ff"/>
          </w:rPr>
          <w:t xml:space="preserve">пункте 2</w:t>
        </w:r>
      </w:hyperlink>
      <w:r>
        <w:rPr>
          <w:sz w:val="24"/>
        </w:rPr>
        <w:t xml:space="preserve"> Правил, утвержденных настоящим постановлением (включая расходы на ее доставку), осуществляется за счет бюджетных ассигнований федерального бюджета на 2025 год по подразделу "Социальное обеспечение населения" раздела "Социальная политика" классификации расходов бюджетов, предусмотренных: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Министерству труда и социальной защиты Российской Федерации, передаваемых в бюджет Фонда пенсионного и социального страхования Российской Федерации, - в отношении граждан, пенсионное обеспечение и (или) выплата дополнительного ежемесячного материального обеспечения которых осуществляются Фондом пенсионного и социального страхования Российской Федерации;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уполномоченным федеральным государственным органам и федеральным органам исполнительной власти, являющимся главными распорядителями средств федерального бюджета, - в отношении граждан, пенсионное обеспечение которых осуществляется в соответствии с </w:t>
      </w:r>
      <w:hyperlink w:history="0" r:id="rId8" w:tooltip="Закон РФ от 12.02.1993 N 4468-1 (ред. от 28.02.2025) &quot;О пенсионном обеспечении лиц, проходивших военную службу, службу в органах внутренних дел, Государственной противопожарной службе, органах по контролю за оборотом наркотических средств и психотропных веществ, учреждениях и органах уголовно-исполнительной системы, войсках национальной гвардии Российской Федерации, органах принудительного исполнения Российской Федерации, и их семей&quot; {КонсультантПлюс}">
        <w:r>
          <w:rPr>
            <w:sz w:val="24"/>
            <w:color w:val="0000ff"/>
          </w:rPr>
          <w:t xml:space="preserve">Законом</w:t>
        </w:r>
      </w:hyperlink>
      <w:r>
        <w:rPr>
          <w:sz w:val="24"/>
        </w:rPr>
        <w:t xml:space="preserve"> Российской Федерации "О пенсионном обеспечении лиц, проходивших военную службу, службу в органах внутренних дел, Государственной противопожарной службе, органах по контролю за оборотом наркотических средств и психотропных веществ, учреждениях и органах уголовно-исполнительной системы, войсках национальной гвардии Российской Федерации, органах принудительного исполнения Российской Федерации, и их семей", а также граждан, получающих ежемесячное пожизненное содержание в соответствии с </w:t>
      </w:r>
      <w:hyperlink w:history="0" r:id="rId9" w:tooltip="Закон РФ от 26.06.1992 N 3132-1 (ред. от 10.07.2023, с изм. от 27.11.2023) &quot;О статусе судей в Российской Федерации&quot; {КонсультантПлюс}">
        <w:r>
          <w:rPr>
            <w:sz w:val="24"/>
            <w:color w:val="0000ff"/>
          </w:rPr>
          <w:t xml:space="preserve">Законом</w:t>
        </w:r>
      </w:hyperlink>
      <w:r>
        <w:rPr>
          <w:sz w:val="24"/>
        </w:rPr>
        <w:t xml:space="preserve"> Российской Федерации "О статусе судей в Российской Федерации".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3. Настоящее постановление вступает в силу со дня его официального опубликования.</w:t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0"/>
        <w:jc w:val="right"/>
      </w:pPr>
      <w:r>
        <w:rPr>
          <w:sz w:val="24"/>
        </w:rPr>
        <w:t xml:space="preserve">Председатель Правительства</w:t>
      </w:r>
    </w:p>
    <w:p>
      <w:pPr>
        <w:pStyle w:val="0"/>
        <w:jc w:val="right"/>
      </w:pPr>
      <w:r>
        <w:rPr>
          <w:sz w:val="24"/>
        </w:rPr>
        <w:t xml:space="preserve">Российской Федерации</w:t>
      </w:r>
    </w:p>
    <w:p>
      <w:pPr>
        <w:pStyle w:val="0"/>
        <w:jc w:val="right"/>
      </w:pPr>
      <w:r>
        <w:rPr>
          <w:sz w:val="24"/>
        </w:rPr>
        <w:t xml:space="preserve">М.МИШУСТИН</w:t>
      </w:r>
    </w:p>
    <w:p>
      <w:pPr>
        <w:pStyle w:val="0"/>
        <w:jc w:val="right"/>
      </w:pPr>
      <w:r>
        <w:rPr>
          <w:sz w:val="24"/>
        </w:rPr>
      </w:r>
    </w:p>
    <w:p>
      <w:pPr>
        <w:pStyle w:val="0"/>
        <w:jc w:val="right"/>
      </w:pPr>
      <w:r>
        <w:rPr>
          <w:sz w:val="24"/>
        </w:rPr>
      </w:r>
    </w:p>
    <w:p>
      <w:pPr>
        <w:pStyle w:val="0"/>
        <w:jc w:val="right"/>
      </w:pPr>
      <w:r>
        <w:rPr>
          <w:sz w:val="24"/>
        </w:rPr>
      </w:r>
    </w:p>
    <w:p>
      <w:pPr>
        <w:pStyle w:val="0"/>
        <w:jc w:val="right"/>
      </w:pPr>
      <w:r>
        <w:rPr>
          <w:sz w:val="24"/>
        </w:rPr>
      </w:r>
    </w:p>
    <w:p>
      <w:pPr>
        <w:pStyle w:val="0"/>
        <w:jc w:val="right"/>
      </w:pPr>
      <w:r>
        <w:rPr>
          <w:sz w:val="24"/>
        </w:rPr>
      </w:r>
    </w:p>
    <w:p>
      <w:pPr>
        <w:pStyle w:val="0"/>
        <w:outlineLvl w:val="0"/>
        <w:jc w:val="right"/>
      </w:pPr>
      <w:r>
        <w:rPr>
          <w:sz w:val="24"/>
        </w:rPr>
        <w:t xml:space="preserve">Утверждены</w:t>
      </w:r>
    </w:p>
    <w:p>
      <w:pPr>
        <w:pStyle w:val="0"/>
        <w:jc w:val="right"/>
      </w:pPr>
      <w:r>
        <w:rPr>
          <w:sz w:val="24"/>
        </w:rPr>
        <w:t xml:space="preserve">постановлением Правительства</w:t>
      </w:r>
    </w:p>
    <w:p>
      <w:pPr>
        <w:pStyle w:val="0"/>
        <w:jc w:val="right"/>
      </w:pPr>
      <w:r>
        <w:rPr>
          <w:sz w:val="24"/>
        </w:rPr>
        <w:t xml:space="preserve">Российской Федерации</w:t>
      </w:r>
    </w:p>
    <w:p>
      <w:pPr>
        <w:pStyle w:val="0"/>
        <w:jc w:val="right"/>
      </w:pPr>
      <w:r>
        <w:rPr>
          <w:sz w:val="24"/>
        </w:rPr>
        <w:t xml:space="preserve">от 20 марта 2025 г. N 337</w:t>
      </w:r>
    </w:p>
    <w:p>
      <w:pPr>
        <w:pStyle w:val="0"/>
        <w:jc w:val="center"/>
      </w:pPr>
      <w:r>
        <w:rPr>
          <w:sz w:val="24"/>
        </w:rPr>
      </w:r>
    </w:p>
    <w:bookmarkStart w:id="31" w:name="P31"/>
    <w:bookmarkEnd w:id="31"/>
    <w:p>
      <w:pPr>
        <w:pStyle w:val="2"/>
        <w:jc w:val="center"/>
      </w:pPr>
      <w:r>
        <w:rPr>
          <w:sz w:val="24"/>
        </w:rPr>
        <w:t xml:space="preserve">ПРАВИЛА</w:t>
      </w:r>
    </w:p>
    <w:p>
      <w:pPr>
        <w:pStyle w:val="2"/>
        <w:jc w:val="center"/>
      </w:pPr>
      <w:r>
        <w:rPr>
          <w:sz w:val="24"/>
        </w:rPr>
        <w:t xml:space="preserve">ОСУЩЕСТВЛЕНИЯ ЕДИНОВРЕМЕННОЙ ВЫПЛАТЫ НЕКОТОРЫМ КАТЕГОРИЯМ</w:t>
      </w:r>
    </w:p>
    <w:p>
      <w:pPr>
        <w:pStyle w:val="2"/>
        <w:jc w:val="center"/>
      </w:pPr>
      <w:r>
        <w:rPr>
          <w:sz w:val="24"/>
        </w:rPr>
        <w:t xml:space="preserve">ГРАЖДАН РОССИЙСКОЙ ФЕДЕРАЦИИ В СВЯЗИ С 80-Й ГОДОВЩИНОЙ</w:t>
      </w:r>
    </w:p>
    <w:p>
      <w:pPr>
        <w:pStyle w:val="2"/>
        <w:jc w:val="center"/>
      </w:pPr>
      <w:r>
        <w:rPr>
          <w:sz w:val="24"/>
        </w:rPr>
        <w:t xml:space="preserve">ПОБЕДЫ В ВЕЛИКОЙ ОТЕЧЕСТВЕННОЙ ВОЙНЕ 1941 - 1945 ГОДОВ</w:t>
      </w:r>
    </w:p>
    <w:p>
      <w:pPr>
        <w:pStyle w:val="0"/>
        <w:jc w:val="center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  <w:t xml:space="preserve">1. Настоящие Правила определяют порядок и условия осуществления единовременной выплаты некоторым категориям граждан Российской Федерации, постоянно проживающих на территории Российской Федерации, в Латвийской Республике, Литовской Республике и Эстонской Республике, на территориях Республики Абхазия, Республики Южная Осетия и Приднестровья (далее - граждане), в связи с 80-й годовщиной Победы в Великой Отечественной войне 1941 - 1945 годов (далее - единовременная выплата).</w:t>
      </w:r>
    </w:p>
    <w:bookmarkStart w:id="37" w:name="P37"/>
    <w:bookmarkEnd w:id="37"/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2. Единовременная выплата осуществляется: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а) инвалидам Великой Отечественной войны, ветеранам Великой Отечественной войны из числа лиц, указанных в </w:t>
      </w:r>
      <w:hyperlink w:history="0" r:id="rId10" w:tooltip="Федеральный закон от 12.01.1995 N 5-ФЗ (ред. от 13.12.2024) &quot;О ветеранах&quot; (с изм. и доп., вступ. в силу с 01.01.2025) {КонсультантПлюс}">
        <w:r>
          <w:rPr>
            <w:sz w:val="24"/>
            <w:color w:val="0000ff"/>
          </w:rPr>
          <w:t xml:space="preserve">подпунктах 1</w:t>
        </w:r>
      </w:hyperlink>
      <w:r>
        <w:rPr>
          <w:sz w:val="24"/>
        </w:rPr>
        <w:t xml:space="preserve"> - </w:t>
      </w:r>
      <w:hyperlink w:history="0" r:id="rId11" w:tooltip="Федеральный закон от 12.01.1995 N 5-ФЗ (ред. от 13.12.2024) &quot;О ветеранах&quot; (с изм. и доп., вступ. в силу с 01.01.2025) {КонсультантПлюс}">
        <w:r>
          <w:rPr>
            <w:sz w:val="24"/>
            <w:color w:val="0000ff"/>
          </w:rPr>
          <w:t xml:space="preserve">3 пункта 1 статьи 2</w:t>
        </w:r>
      </w:hyperlink>
      <w:r>
        <w:rPr>
          <w:sz w:val="24"/>
        </w:rPr>
        <w:t xml:space="preserve"> Федерального закона "О ветеранах", бывшим несовершеннолетним узникам концлагерей, гетто и других мест принудительного содержания, созданных фашистами и их союзниками в период Второй мировой войны, вдовам (вдовцам) военнослужащих, погибших в период войны с Финляндией, Великой Отечественной войны, войны с Японией, вдовам (вдовцам) умерших инвалидов Великой Отечественной войны и участников Великой Отечественной войны - в размере 80000 рублей;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б) ветеранам Великой Отечественной войны из числа лиц, указанных в </w:t>
      </w:r>
      <w:hyperlink w:history="0" r:id="rId12" w:tooltip="Федеральный закон от 12.01.1995 N 5-ФЗ (ред. от 13.12.2024) &quot;О ветеранах&quot; (с изм. и доп., вступ. в силу с 01.01.2025) {КонсультантПлюс}">
        <w:r>
          <w:rPr>
            <w:sz w:val="24"/>
            <w:color w:val="0000ff"/>
          </w:rPr>
          <w:t xml:space="preserve">подпункте 4 пункта 1 статьи 2</w:t>
        </w:r>
      </w:hyperlink>
      <w:r>
        <w:rPr>
          <w:sz w:val="24"/>
        </w:rPr>
        <w:t xml:space="preserve"> Федерального закона "О ветеранах", бывшим совершеннолетним узникам нацистских концлагерей, тюрем и гетто - в размере 55000 рублей.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3. Единовременная выплата гражданам, указанным в </w:t>
      </w:r>
      <w:hyperlink w:history="0" w:anchor="P37" w:tooltip="2. Единовременная выплата осуществляется:">
        <w:r>
          <w:rPr>
            <w:sz w:val="24"/>
            <w:color w:val="0000ff"/>
          </w:rPr>
          <w:t xml:space="preserve">пункте 2</w:t>
        </w:r>
      </w:hyperlink>
      <w:r>
        <w:rPr>
          <w:sz w:val="24"/>
        </w:rPr>
        <w:t xml:space="preserve"> настоящих Правил, осуществляется: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а) Фондом пенсионного и социального страхования Российской Федерации и его территориальными органами - в отношении граждан, пенсионное обеспечение которых осуществляется Фондом пенсионного и социального страхования Российской Федерации;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б) органами, осуществляющими назначение и выплату соответствующей пенсии, - в отношении граждан, пенсионное обеспечение которых осуществляется в соответствии с </w:t>
      </w:r>
      <w:hyperlink w:history="0" r:id="rId13" w:tooltip="Закон РФ от 12.02.1993 N 4468-1 (ред. от 28.02.2025) &quot;О пенсионном обеспечении лиц, проходивших военную службу, службу в органах внутренних дел, Государственной противопожарной службе, органах по контролю за оборотом наркотических средств и психотропных веществ, учреждениях и органах уголовно-исполнительной системы, войсках национальной гвардии Российской Федерации, органах принудительного исполнения Российской Федерации, и их семей&quot; {КонсультантПлюс}">
        <w:r>
          <w:rPr>
            <w:sz w:val="24"/>
            <w:color w:val="0000ff"/>
          </w:rPr>
          <w:t xml:space="preserve">Законом</w:t>
        </w:r>
      </w:hyperlink>
      <w:r>
        <w:rPr>
          <w:sz w:val="24"/>
        </w:rPr>
        <w:t xml:space="preserve"> Российской Федерации "О пенсионном обеспечении лиц, проходивших военную службу, службу в органах внутренних дел, Государственной противопожарной службе, органах по контролю за оборотом наркотических средств и психотропных веществ, учреждениях и органах уголовно-исполнительной системы, войсках национальной гвардии Российской Федерации, органах принудительного исполнения Российской Федерации, и их семей";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в) органами, осуществляющими назначение и выплату ежемесячного пожизненного содержания судей, - в отношении граждан, получающих ежемесячное пожизненное содержание в соответствии с </w:t>
      </w:r>
      <w:hyperlink w:history="0" r:id="rId14" w:tooltip="Закон РФ от 26.06.1992 N 3132-1 (ред. от 10.07.2023, с изм. от 27.11.2023) &quot;О статусе судей в Российской Федерации&quot; {КонсультантПлюс}">
        <w:r>
          <w:rPr>
            <w:sz w:val="24"/>
            <w:color w:val="0000ff"/>
          </w:rPr>
          <w:t xml:space="preserve">Законом</w:t>
        </w:r>
      </w:hyperlink>
      <w:r>
        <w:rPr>
          <w:sz w:val="24"/>
        </w:rPr>
        <w:t xml:space="preserve"> Российской Федерации "О статусе судей в Российской Федерации".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4. Гражданам, указанным в </w:t>
      </w:r>
      <w:hyperlink w:history="0" w:anchor="P37" w:tooltip="2. Единовременная выплата осуществляется:">
        <w:r>
          <w:rPr>
            <w:sz w:val="24"/>
            <w:color w:val="0000ff"/>
          </w:rPr>
          <w:t xml:space="preserve">пункте 2</w:t>
        </w:r>
      </w:hyperlink>
      <w:r>
        <w:rPr>
          <w:sz w:val="24"/>
        </w:rPr>
        <w:t xml:space="preserve"> настоящих Правил, получающим 2 пенсии либо ежемесячное пожизненное содержание судьи и пенсию, единовременная выплата осуществляется территориальными органами Фонда пенсионного и социального страхования Российской Федерации.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Гражданам, имеющим право на получение единовременной выплаты по нескольким основаниям, предусмотренным настоящими Правилами, единовременная выплата осуществляется по тому основанию, которое предусматривает более высокий размер единовременной выплаты.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В случае представления гражданином после осуществления единовременной выплаты документов, подтверждающих право на ее получение в более высоком размере, производится соответствующая доплата.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5. Гражданам Российской Федерации, постоянно проживающим в Латвийской Республике, Литовской Республике и Эстонской Республике, на территориях Республики Абхазия, Республики Южная Осетия и Приднестровья, указанным в </w:t>
      </w:r>
      <w:hyperlink w:history="0" w:anchor="P37" w:tooltip="2. Единовременная выплата осуществляется:">
        <w:r>
          <w:rPr>
            <w:sz w:val="24"/>
            <w:color w:val="0000ff"/>
          </w:rPr>
          <w:t xml:space="preserve">пункте 2</w:t>
        </w:r>
      </w:hyperlink>
      <w:r>
        <w:rPr>
          <w:sz w:val="24"/>
        </w:rPr>
        <w:t xml:space="preserve"> настоящих Правил, единовременная выплата осуществляется в порядке, предусмотренном </w:t>
      </w:r>
      <w:hyperlink w:history="0" r:id="rId15" w:tooltip="Постановление Правительства РФ от 15.04.1995 N 335 (ред. от 27.05.2005) &quot;О порядке выплаты пенсий, компенсаций и пособий пенсионерам из числа военнослужащих и членов их семей, проживающим в Латвийской Республике, Литовской Республике и Эстонской Республике, материального обеспечения личного состава отделов социального обеспечения при посольствах Российской Федерации в этих государствах&quot; {КонсультантПлюс}">
        <w:r>
          <w:rPr>
            <w:sz w:val="24"/>
            <w:color w:val="0000ff"/>
          </w:rPr>
          <w:t xml:space="preserve">постановлением</w:t>
        </w:r>
      </w:hyperlink>
      <w:r>
        <w:rPr>
          <w:sz w:val="24"/>
        </w:rPr>
        <w:t xml:space="preserve"> Правительства Российской Федерации от 15 апреля 1995 г. N 335 "О порядке выплаты пенсий, компенсаций и пособий пенсионерам из числа военнослужащих и членов их семей, проживающим в Латвийской Республике, Литовской Республике и Эстонской Республике, материального обеспечения личного состава отделов социального обеспечения при посольствах Российской Федерации в этих государствах" и </w:t>
      </w:r>
      <w:hyperlink w:history="0" r:id="rId16" w:tooltip="Постановление Правительства РФ от 17.12.2014 N 1386 (ред. от 04.04.2024) &quot;О порядке выплаты пенсий лицам, выезжающим (выехавшим) на постоянное жительство за пределы территории Российской Федерации&quot; (вместе с &quot;Положением о порядке выплаты страховой пенсии лицам, выезжающим (выехавшим) на постоянное жительство за пределы территории Российской Федерации&quot;) {КонсультантПлюс}">
        <w:r>
          <w:rPr>
            <w:sz w:val="24"/>
            <w:color w:val="0000ff"/>
          </w:rPr>
          <w:t xml:space="preserve">постановлением</w:t>
        </w:r>
      </w:hyperlink>
      <w:r>
        <w:rPr>
          <w:sz w:val="24"/>
        </w:rPr>
        <w:t xml:space="preserve"> Правительства Российской Федерации от 17 декабря 2014 г. N 1386 "О порядке выплаты пенсий лицам, выезжающим (выехавшим) на постоянное жительство за пределы территории Российской Федерации".</w:t>
      </w:r>
    </w:p>
    <w:bookmarkStart w:id="48" w:name="P48"/>
    <w:bookmarkEnd w:id="48"/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6. В целях обеспечения осуществления единовременной выплаты Фонд пенсионного и социального страхования Российской Федерации, другие органы, осуществляющие пенсионное обеспечение и пожизненное содержание судей, и уполномоченные исполнительные органы субъектов Российской Федерации обмениваются соответствующей информацией с учетом требований законодательства Российской Федерации.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7. Гражданам, указанным в </w:t>
      </w:r>
      <w:hyperlink w:history="0" w:anchor="P37" w:tooltip="2. Единовременная выплата осуществляется:">
        <w:r>
          <w:rPr>
            <w:sz w:val="24"/>
            <w:color w:val="0000ff"/>
          </w:rPr>
          <w:t xml:space="preserve">пункте 2</w:t>
        </w:r>
      </w:hyperlink>
      <w:r>
        <w:rPr>
          <w:sz w:val="24"/>
        </w:rPr>
        <w:t xml:space="preserve"> настоящих Правил, единовременная выплата осуществляется на основании имеющихся в распоряжении органов, осуществляющих пенсионное обеспечение или ежемесячное пожизненное содержание судей, документов, содержащих соответствующие данные (в том числе полученные в результате предусмотренного </w:t>
      </w:r>
      <w:hyperlink w:history="0" w:anchor="P48" w:tooltip="6. В целях обеспечения осуществления единовременной выплаты Фонд пенсионного и социального страхования Российской Федерации, другие органы, осуществляющие пенсионное обеспечение и пожизненное содержание судей, и уполномоченные исполнительные органы субъектов Российской Федерации обмениваются соответствующей информацией с учетом требований законодательства Российской Федерации.">
        <w:r>
          <w:rPr>
            <w:sz w:val="24"/>
            <w:color w:val="0000ff"/>
          </w:rPr>
          <w:t xml:space="preserve">пунктом 6</w:t>
        </w:r>
      </w:hyperlink>
      <w:r>
        <w:rPr>
          <w:sz w:val="24"/>
        </w:rPr>
        <w:t xml:space="preserve"> настоящих Правил информационного обмена), без истребования дополнительных документов, подтверждающих их правовой статус.</w:t>
      </w:r>
    </w:p>
    <w:bookmarkStart w:id="50" w:name="P50"/>
    <w:bookmarkEnd w:id="50"/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При отсутствии в распоряжении указанных органов необходимых данных единовременная выплата осуществляется на основании заявления гражданина. В этом случае истребование соответствующих документов производится этими органами. В случае отсутствия сведений о заявителе заявитель вправе по собственной инициативе представить в указанные органы документы, подтверждающие его правовой статус в соответствии с законодательством Российской Федерации.</w:t>
      </w:r>
    </w:p>
    <w:bookmarkStart w:id="51" w:name="P51"/>
    <w:bookmarkEnd w:id="51"/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Гражданам Российской Федерации, постоянно проживающим в Латвийской Республике, Литовской Республике и Эстонской Республике, на территориях Республики Абхазия, Республики Южная Осетия и Приднестровья, указанным в </w:t>
      </w:r>
      <w:hyperlink w:history="0" w:anchor="P37" w:tooltip="2. Единовременная выплата осуществляется:">
        <w:r>
          <w:rPr>
            <w:sz w:val="24"/>
            <w:color w:val="0000ff"/>
          </w:rPr>
          <w:t xml:space="preserve">пункте 2</w:t>
        </w:r>
      </w:hyperlink>
      <w:r>
        <w:rPr>
          <w:sz w:val="24"/>
        </w:rPr>
        <w:t xml:space="preserve"> настоящих Правил, в случае если в распоряжении органов, осуществляющих пенсионное обеспечение, отсутствуют необходимые данные, единовременная выплата осуществляется на основании заявления и представления ими документов, подтверждающих их правовой статус в соответствии с законодательством Российской Федерации.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8. Гражданам, указанным в </w:t>
      </w:r>
      <w:hyperlink w:history="0" w:anchor="P37" w:tooltip="2. Единовременная выплата осуществляется:">
        <w:r>
          <w:rPr>
            <w:sz w:val="24"/>
            <w:color w:val="0000ff"/>
          </w:rPr>
          <w:t xml:space="preserve">пункте 2</w:t>
        </w:r>
      </w:hyperlink>
      <w:r>
        <w:rPr>
          <w:sz w:val="24"/>
        </w:rPr>
        <w:t xml:space="preserve"> настоящих Правил, проживающим в организациях, предоставляющих социальные услуги в стационарной форме, единовременная выплата осуществляется в полном размере.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9. Единовременная выплата, не полученная гражданином в связи с его смертью, осуществляется в порядке, предусмотренном гражданским законодательством Российской Федерации.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10. Единовременная выплата осуществляется в апреле - мае 2025 г., за исключением случаев, предусмотренных </w:t>
      </w:r>
      <w:hyperlink w:history="0" w:anchor="P50" w:tooltip="При отсутствии в распоряжении указанных органов необходимых данных единовременная выплата осуществляется на основании заявления гражданина. В этом случае истребование соответствующих документов производится этими органами. В случае отсутствия сведений о заявителе заявитель вправе по собственной инициативе представить в указанные органы документы, подтверждающие его правовой статус в соответствии с законодательством Российской Федерации.">
        <w:r>
          <w:rPr>
            <w:sz w:val="24"/>
            <w:color w:val="0000ff"/>
          </w:rPr>
          <w:t xml:space="preserve">абзацами вторым</w:t>
        </w:r>
      </w:hyperlink>
      <w:r>
        <w:rPr>
          <w:sz w:val="24"/>
        </w:rPr>
        <w:t xml:space="preserve"> и </w:t>
      </w:r>
      <w:hyperlink w:history="0" w:anchor="P51" w:tooltip="Гражданам Российской Федерации, постоянно проживающим в Латвийской Республике, Литовской Республике и Эстонской Республике, на территориях Республики Абхазия, Республики Южная Осетия и Приднестровья, указанным в пункте 2 настоящих Правил, в случае если в распоряжении органов, осуществляющих пенсионное обеспечение, отсутствуют необходимые данные, единовременная выплата осуществляется на основании заявления и представления ими документов, подтверждающих их правовой статус в соответствии с законодательством...">
        <w:r>
          <w:rPr>
            <w:sz w:val="24"/>
            <w:color w:val="0000ff"/>
          </w:rPr>
          <w:t xml:space="preserve">третьим пункта 7</w:t>
        </w:r>
      </w:hyperlink>
      <w:r>
        <w:rPr>
          <w:sz w:val="24"/>
        </w:rPr>
        <w:t xml:space="preserve"> настоящих Правил, когда единовременная выплата может быть осуществлена позднее.</w:t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both"/>
        <w:pBdr>
          <w:bottom w:val="single" w:sz="6" w:space="0" w:color="auto"/>
        </w:pBdr>
        <w:spacing w:before="100" w:after="100"/>
        <w:rPr>
          <w:sz w:val="2"/>
          <w:szCs w:val="2"/>
        </w:rPr>
      </w:pPr>
    </w:p>
    <w:sectPr>
      <w:headerReference w:type="default" r:id="rId5"/>
      <w:headerReference w:type="first" r:id="rId5"/>
      <w:footerReference w:type="default" r:id="rId6"/>
      <w:footerReference w:type="first" r:id="rId6"/>
      <w:pgSz w:w="11906" w:h="16838"/>
      <w:pgMar w:top="1440" w:right="566" w:bottom="1440" w:left="1133" w:header="0" w:footer="0" w:gutter="0"/>
      <w:titlePg/>
    </w:sectPr>
  </w:body>
</w:document>
</file>

<file path=word/footer1.xml><?xml version="1.0" encoding="utf-8"?>
<w:ftr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i="http://schemas.microsoft.com/office/word/2010/wordprocessingInk" xmlns:wne="http://schemas.microsoft.com/office/word/2006/wordml" mc:Ignorable="w14 w15 w16se wne wp14">
  <w:p>
    <w:pPr>
      <w:pBdr>
        <w:bottom w:val="single" w:sz="12" w:space="0" w:color="auto"/>
      </w:pBdr>
      <w:rPr>
        <w:sz w:val="2"/>
        <w:szCs w:val="2"/>
      </w:rPr>
    </w:pPr>
  </w:p>
  <w:tbl>
    <w:tblPr>
      <w:tblW w:w="5000" w:type="pct"/>
      <w:tblInd w:w="0" w:type="dxa"/>
      <w:tblCellMar>
        <w:left w:w="40" w:type="dxa"/>
        <w:right w:w="40" w:type="dxa"/>
      </w:tblCellMar>
      <w:tblLook w:firstRow="0" w:lastRow="0" w:firstColumn="0" w:lastColumn="0" w:noHBand="0" w:noVBand="0"/>
    </w:tblPr>
    <w:tblGrid>
      <w:gridCol w:w="1"/>
      <w:gridCol w:w="1"/>
      <w:gridCol w:w="1"/>
    </w:tblGrid>
    <w:tr>
      <w:trPr>
        <w:trHeight w:hRule="exact" w:val="1663"/>
      </w:trPr>
      <w:tc>
        <w:tcPr>
          <w:tcW w:w="1650" w:type="pct"/>
          <w:vAlign w:val="center"/>
        </w:tcPr>
        <w:p>
          <w:r>
            <w:rPr>
              <w:rFonts w:ascii="Tahoma" w:hAnsi="Tahoma" w:cs="Tahoma"/>
              <w:b/>
              <w:color w:val="f58220"/>
              <w:sz w:val="28"/>
              <w:szCs w:val="28"/>
              <w:noProof/>
            </w:rPr>
            <w:t>КонсультантПлюс</w:t>
          </w:r>
          <w:r>
            <w:rPr>
              <w:rFonts w:ascii="Tahoma" w:hAnsi="Tahoma" w:cs="Tahoma"/>
              <w:b/>
              <w:sz w:val="16"/>
              <w:szCs w:val="16"/>
              <w:noProof/>
            </w:rPr>
            <w:br/>
            <w:t>надежная правовая поддержка</w:t>
          </w:r>
        </w:p>
      </w:tc>
      <w:tc>
        <w:tcPr>
          <w:tcW w:w="1700" w:type="pct"/>
          <w:vAlign w:val="center"/>
        </w:tcPr>
        <w:p>
          <w:pPr>
            <w:jc w:val="center"/>
          </w:pPr>
          <w:hyperlink r:id="rId1" w:history="0">
            <w:r>
              <w:rPr>
                <w:rFonts w:ascii="Tahoma" w:hAnsi="Tahoma" w:cs="Tahoma"/>
                <w:b/>
                <w:color w:val="0000FF"/>
              </w:rPr>
              <w:t>www.consultant.ru</w:t>
            </w:r>
          </w:hyperlink>
        </w:p>
      </w:tc>
      <w:tc>
        <w:tcPr>
          <w:tcW w:w="1650" w:type="pct"/>
          <w:vAlign w:val="center"/>
        </w:tcPr>
        <w:p>
          <w:pPr>
            <w:jc w:val="end"/>
          </w:pPr>
          <w:r>
            <w:rPr>
              <w:rFonts w:ascii="Tahoma" w:hAnsi="Tahoma" w:cs="Tahoma"/>
            </w:rPr>
            <w:t xml:space="preserve">Страница </w:t>
          </w:r>
          <w:r>
            <w:fldChar w:fldCharType="begin"/>
          </w:r>
          <w:r>
            <w:rPr>
              <w:rFonts w:ascii="Tahoma" w:hAnsi="Tahoma" w:cs="Tahoma"/>
            </w:rPr>
            <w:instrText>PAGE</w:instrText>
          </w:r>
          <w:r>
            <w:fldChar w:fldCharType="separate"/>
          </w:r>
          <w:r>
            <w:rPr>
              <w:rFonts w:ascii="Tahoma" w:hAnsi="Tahoma" w:cs="Tahoma"/>
              <w:noProof/>
            </w:rPr>
            <w:t>5</w:t>
          </w:r>
          <w:r>
            <w:fldChar w:fldCharType="end"/>
          </w:r>
          <w:r>
            <w:rPr>
              <w:rFonts w:ascii="Tahoma" w:hAnsi="Tahoma" w:cs="Tahoma"/>
            </w:rPr>
            <w:t xml:space="preserve"> из </w:t>
          </w:r>
          <w:r>
            <w:fldChar w:fldCharType="begin"/>
          </w:r>
          <w:r>
            <w:rPr>
              <w:rFonts w:ascii="Tahoma" w:hAnsi="Tahoma" w:cs="Tahoma"/>
            </w:rPr>
            <w:instrText>NUMPAGES</w:instrText>
          </w:r>
          <w:r>
            <w:fldChar w:fldCharType="separate"/>
          </w:r>
          <w:r>
            <w:rPr>
              <w:rFonts w:ascii="Tahoma" w:hAnsi="Tahoma" w:cs="Tahoma"/>
              <w:noProof/>
            </w:rPr>
            <w:t>5</w:t>
          </w:r>
          <w:r>
            <w:fldChar w:fldCharType="end"/>
          </w:r>
        </w:p>
      </w:tc>
    </w:tr>
  </w:tbl>
  <w:p>
    <w:r>
      <w:rPr>
        <w:sz w:val="2"/>
        <w:szCs w:val="2"/>
      </w:rPr>
      <w:t>1</w:t>
    </w:r>
  </w:p>
</w:ftr>
</file>

<file path=word/header1.xml><?xml version="1.0" encoding="utf-8"?>
<w:hdr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i="http://schemas.microsoft.com/office/word/2010/wordprocessingInk" xmlns:wne="http://schemas.microsoft.com/office/word/2006/wordml" mc:Ignorable="w14 w15 w16se wne wp14">
  <w:tbl>
    <w:tblPr>
      <w:tblW w:w="5000" w:type="pct"/>
      <w:tblInd w:w="0" w:type="dxa"/>
      <w:tblLayout w:type="fixed"/>
      <w:tblCellMar>
        <w:left w:w="40" w:type="dxa"/>
        <w:right w:w="40" w:type="dxa"/>
      </w:tblCellMar>
    </w:tblPr>
    <w:tblGrid>
      <w:gridCol w:w="1"/>
      <w:gridCol w:w="1"/>
    </w:tblGrid>
    <w:tr>
      <w:trPr>
        <w:trHeight w:hRule="exact" w:val="1683"/>
      </w:trPr>
      <w:tc>
        <w:tcPr>
          <w:tcW w:w="2700" w:type="pct"/>
          <w:vAlign w:val="center"/>
        </w:tcPr>
        <w:p>
          <w:pPr>
            <w:rPr>
              <w:rFonts w:ascii="Tahoma" w:hAnsi="Tahoma" w:cs="Tahoma"/>
            </w:rPr>
          </w:pPr>
          <w:r>
            <w:rPr>
              <w:rFonts w:ascii="Tahoma" w:hAnsi="Tahoma" w:cs="Tahoma"/>
              <w:sz w:val="16"/>
              <w:szCs w:val="16"/>
            </w:rPr>
            <w:t>Постановление Правительства РФ от 20.03.2025 N 337</w:t>
            <w:br/>
            <w:t>"Об утверждении Правил осуществления единовременной выплаты некоторым...</w:t>
          </w:r>
        </w:p>
      </w:tc>
      <w:tc>
        <w:tcPr>
          <w:tcW w:w="2300" w:type="pct"/>
          <w:vAlign w:val="center"/>
        </w:tcPr>
        <w:p>
          <w:pPr>
            <w:jc w:val="end"/>
            <w:rPr>
              <w:rFonts w:ascii="Tahoma" w:hAnsi="Tahoma" w:cs="Tahoma"/>
            </w:rPr>
          </w:pPr>
          <w:r>
            <w:rPr>
              <w:rFonts w:ascii="Tahoma" w:hAnsi="Tahoma" w:cs="Tahoma"/>
              <w:sz w:val="18"/>
              <w:szCs w:val="18"/>
              <w:noProof/>
            </w:rPr>
            <w:t xml:space="preserve">Документ предоставлен </w:t>
          </w:r>
          <w:hyperlink r:id="rId1" w:history="0" w:tooltip="КонсультантПлюс - надежная правовая система">
            <w:r>
              <w:rPr>
                <w:rFonts w:ascii="Tahoma" w:hAnsi="Tahoma" w:cs="Tahoma"/>
                <w:color w:val="0000FF"/>
                <w:sz w:val="18"/>
                <w:szCs w:val="18"/>
                <w:noProof/>
              </w:rPr>
              <w:t>КонсультантПлюс</w:t>
            </w:r>
          </w:hyperlink>
          <w:r>
            <w:rPr>
              <w:rFonts w:ascii="Tahoma" w:hAnsi="Tahoma" w:cs="Tahoma"/>
              <w:sz w:val="18"/>
              <w:szCs w:val="18"/>
            </w:rPr>
            <w:br/>
          </w:r>
          <w:r>
            <w:rPr>
              <w:rFonts w:ascii="Tahoma" w:hAnsi="Tahoma" w:cs="Tahoma"/>
              <w:sz w:val="16"/>
              <w:szCs w:val="16"/>
            </w:rPr>
            <w:t>Дата сохранения: 21.03.2025</w:t>
          </w:r>
        </w:p>
      </w:tc>
    </w:tr>
  </w:tbl>
  <w:p>
    <w:pPr>
      <w:pBdr>
        <w:bottom w:val="single" w:sz="12" w:space="0" w:color="auto"/>
      </w:pBdr>
      <w:rPr>
        <w:sz w:val="2"/>
        <w:szCs w:val="2"/>
      </w:rPr>
    </w:pPr>
  </w:p>
  <w:p/>
</w:hdr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pPrDefault>
      <w:pPr>
        <w:spacing w:before="0" w:after="0" w:line="240" w:lineRule="auto"/>
      </w:pPr>
    </w:pPrDefault>
  </w:docDefaults>
  <w:style w:type="paragraph" w:default="1" w:customStyle="1" w:styleId="0">
    <w:name w:val="ConsPlusNormal"/>
    <w:pPr>
      <w:widowControl w:val="0"/>
      <w:autoSpaceDE w:val="0"/>
      <w:autoSpaceDN w:val="0"/>
    </w:pPr>
    <w:rPr>
      <w:rFonts w:ascii="Times New Roman" w:hAnsi="Times New Roman" w:cs="Times New Roman"/>
      <w:sz w:val="24"/>
    </w:rPr>
  </w:style>
  <w:style w:type="paragraph" w:customStyle="1" w:styleId="1">
    <w:name w:val="ConsPlusNonformat"/>
    <w:pPr>
      <w:widowControl w:val="0"/>
      <w:autoSpaceDE w:val="0"/>
      <w:autoSpaceDN w:val="0"/>
    </w:pPr>
    <w:rPr>
      <w:rFonts w:ascii="Courier New" w:hAnsi="Courier New" w:cs="Courier New"/>
      <w:sz w:val="20"/>
    </w:rPr>
  </w:style>
  <w:style w:type="paragraph" w:customStyle="1" w:styleId="2">
    <w:name w:val="ConsPlusTitle"/>
    <w:pPr>
      <w:widowControl w:val="0"/>
      <w:autoSpaceDE w:val="0"/>
      <w:autoSpaceDN w:val="0"/>
    </w:pPr>
    <w:rPr>
      <w:rFonts w:ascii="Arial" w:hAnsi="Arial" w:cs="Arial"/>
      <w:sz w:val="24"/>
      <w:b/>
    </w:rPr>
  </w:style>
  <w:style w:type="paragraph" w:customStyle="1" w:styleId="3">
    <w:name w:val="ConsPlusCell"/>
    <w:pPr>
      <w:widowControl w:val="0"/>
      <w:autoSpaceDE w:val="0"/>
      <w:autoSpaceDN w:val="0"/>
    </w:pPr>
    <w:rPr>
      <w:rFonts w:ascii="Courier New" w:hAnsi="Courier New" w:cs="Courier New"/>
      <w:sz w:val="20"/>
    </w:rPr>
  </w:style>
  <w:style w:type="paragraph" w:customStyle="1" w:styleId="4">
    <w:name w:val="ConsPlusDocList"/>
    <w:pPr>
      <w:widowControl w:val="0"/>
      <w:autoSpaceDE w:val="0"/>
      <w:autoSpaceDN w:val="0"/>
    </w:pPr>
    <w:rPr>
      <w:rFonts w:ascii="Tahoma" w:hAnsi="Tahoma" w:cs="Tahoma"/>
      <w:sz w:val="18"/>
    </w:rPr>
  </w:style>
  <w:style w:type="paragraph" w:customStyle="1" w:styleId="5">
    <w:name w:val="ConsPlusTitlePage"/>
    <w:pPr>
      <w:widowControl w:val="0"/>
      <w:autoSpaceDE w:val="0"/>
      <w:autoSpaceDN w:val="0"/>
    </w:pPr>
    <w:rPr>
      <w:rFonts w:ascii="Tahoma" w:hAnsi="Tahoma" w:cs="Tahoma"/>
      <w:sz w:val="20"/>
    </w:rPr>
  </w:style>
  <w:style w:type="paragraph" w:customStyle="1" w:styleId="6">
    <w:name w:val="ConsPlusJurTerm"/>
    <w:pPr>
      <w:widowControl w:val="0"/>
      <w:autoSpaceDE w:val="0"/>
      <w:autoSpaceDN w:val="0"/>
    </w:pPr>
    <w:rPr>
      <w:rFonts w:ascii="Tahoma" w:hAnsi="Tahoma" w:cs="Tahoma"/>
      <w:sz w:val="26"/>
    </w:rPr>
  </w:style>
  <w:style w:type="paragraph" w:customStyle="1" w:styleId="7">
    <w:name w:val="ConsPlusTextList"/>
    <w:pPr>
      <w:widowControl w:val="0"/>
      <w:autoSpaceDE w:val="0"/>
      <w:autoSpaceDN w:val="0"/>
    </w:pPr>
    <w:rPr>
      <w:rFonts w:ascii="Times New Roman" w:hAnsi="Times New Roman" w:cs="Times New Roman"/>
      <w:sz w:val="24"/>
    </w:rPr>
  </w:style>
  <w:style w:type="paragraph" w:customStyle="1" w:styleId="8">
    <w:name w:val="ConsPlusTextList"/>
    <w:pPr>
      <w:widowControl w:val="0"/>
      <w:autoSpaceDE w:val="0"/>
      <w:autoSpaceDN w:val="0"/>
    </w:pPr>
    <w:rPr>
      <w:rFonts w:ascii="Times New Roman" w:hAnsi="Times New Roman" w:cs="Times New Roman"/>
      <w:sz w:val="24"/>
    </w:rPr>
  </w:style>
  <w:style w:type="paragraph" w:default="1" w:customStyle="1" w:styleId="0">
    <w:name w:val="ConsPlusNormal"/>
    <w:pPr>
      <w:widowControl w:val="0"/>
      <w:autoSpaceDE w:val="0"/>
      <w:autoSpaceDN w:val="0"/>
    </w:pPr>
    <w:rPr>
      <w:rFonts w:ascii="Times New Roman" w:hAnsi="Times New Roman" w:cs="Times New Roman"/>
      <w:sz w:val="24"/>
    </w:rPr>
  </w:style>
  <w:style w:type="paragraph" w:customStyle="1" w:styleId="1">
    <w:name w:val="ConsPlusNonformat"/>
    <w:pPr>
      <w:widowControl w:val="0"/>
      <w:autoSpaceDE w:val="0"/>
      <w:autoSpaceDN w:val="0"/>
    </w:pPr>
    <w:rPr>
      <w:rFonts w:ascii="Courier New" w:hAnsi="Courier New" w:cs="Courier New"/>
      <w:sz w:val="20"/>
    </w:rPr>
  </w:style>
  <w:style w:type="paragraph" w:customStyle="1" w:styleId="2">
    <w:name w:val="ConsPlusTitle"/>
    <w:pPr>
      <w:widowControl w:val="0"/>
      <w:autoSpaceDE w:val="0"/>
      <w:autoSpaceDN w:val="0"/>
    </w:pPr>
    <w:rPr>
      <w:rFonts w:ascii="Arial" w:hAnsi="Arial" w:cs="Arial"/>
      <w:sz w:val="24"/>
      <w:b/>
    </w:rPr>
  </w:style>
  <w:style w:type="paragraph" w:customStyle="1" w:styleId="3">
    <w:name w:val="ConsPlusCell"/>
    <w:pPr>
      <w:widowControl w:val="0"/>
      <w:autoSpaceDE w:val="0"/>
      <w:autoSpaceDN w:val="0"/>
    </w:pPr>
    <w:rPr>
      <w:rFonts w:ascii="Courier New" w:hAnsi="Courier New" w:cs="Courier New"/>
      <w:sz w:val="20"/>
    </w:rPr>
  </w:style>
  <w:style w:type="paragraph" w:customStyle="1" w:styleId="4">
    <w:name w:val="ConsPlusDocList"/>
    <w:pPr>
      <w:widowControl w:val="0"/>
      <w:autoSpaceDE w:val="0"/>
      <w:autoSpaceDN w:val="0"/>
    </w:pPr>
    <w:rPr>
      <w:rFonts w:ascii="Tahoma" w:hAnsi="Tahoma" w:cs="Tahoma"/>
      <w:sz w:val="18"/>
    </w:rPr>
  </w:style>
  <w:style w:type="paragraph" w:customStyle="1" w:styleId="5">
    <w:name w:val="ConsPlusTitlePage"/>
    <w:pPr>
      <w:widowControl w:val="0"/>
      <w:autoSpaceDE w:val="0"/>
      <w:autoSpaceDN w:val="0"/>
    </w:pPr>
    <w:rPr>
      <w:rFonts w:ascii="Tahoma" w:hAnsi="Tahoma" w:cs="Tahoma"/>
      <w:sz w:val="20"/>
    </w:rPr>
  </w:style>
  <w:style w:type="paragraph" w:customStyle="1" w:styleId="6">
    <w:name w:val="ConsPlusJurTerm"/>
    <w:pPr>
      <w:widowControl w:val="0"/>
      <w:autoSpaceDE w:val="0"/>
      <w:autoSpaceDN w:val="0"/>
    </w:pPr>
    <w:rPr>
      <w:rFonts w:ascii="Tahoma" w:hAnsi="Tahoma" w:cs="Tahoma"/>
      <w:sz w:val="26"/>
    </w:rPr>
  </w:style>
  <w:style w:type="paragraph" w:customStyle="1" w:styleId="7">
    <w:name w:val="ConsPlusTextList"/>
    <w:pPr>
      <w:widowControl w:val="0"/>
      <w:autoSpaceDE w:val="0"/>
      <w:autoSpaceDN w:val="0"/>
    </w:pPr>
    <w:rPr>
      <w:rFonts w:ascii="Times New Roman" w:hAnsi="Times New Roman" w:cs="Times New Roman"/>
      <w:sz w:val="24"/>
    </w:rPr>
  </w:style>
  <w:style w:type="paragraph" w:customStyle="1" w:styleId="8">
    <w:name w:val="ConsPlusTextList"/>
    <w:pPr>
      <w:widowControl w:val="0"/>
      <w:autoSpaceDE w:val="0"/>
      <w:autoSpaceDN w:val="0"/>
    </w:pPr>
    <w:rPr>
      <w:rFonts w:ascii="Times New Roman" w:hAnsi="Times New Roman" w:cs="Times New Roman"/>
      <w:sz w:val="24"/>
    </w:rPr>
  </w:style>
</w:styles>
</file>

<file path=word/_rels/document.xml.rels>&#65279;<?xml version="1.0" encoding="UTF-8" standalone="yes"?>
<Relationships xmlns="http://schemas.openxmlformats.org/package/2006/relationships">
	<Relationship Id="rId1" Type="http://schemas.openxmlformats.org/officeDocument/2006/relationships/styles" Target="styles.xml"/>
	<Relationship Id="rId2" Type="http://schemas.openxmlformats.org/officeDocument/2006/relationships/image" Target="media/image1.png"/>
	<Relationship Id="rId3" Type="http://schemas.openxmlformats.org/officeDocument/2006/relationships/hyperlink" Target="https://www.consultant.ru" TargetMode = "External"/>
	<Relationship Id="rId4" Type="http://schemas.openxmlformats.org/officeDocument/2006/relationships/hyperlink" Target="https://www.consultant.ru" TargetMode = "External"/>
	<Relationship Id="rId5" Type="http://schemas.openxmlformats.org/officeDocument/2006/relationships/header" Target="header1.xml"/>
	<Relationship Id="rId6" Type="http://schemas.openxmlformats.org/officeDocument/2006/relationships/footer" Target="footer1.xml"/>
	<Relationship Id="rId7" Type="http://schemas.openxmlformats.org/officeDocument/2006/relationships/hyperlink" Target="https://login.consultant.ru/link/?req=doc&amp;base=LAW&amp;n=496040&amp;date=21.03.2025&amp;dst=100010&amp;field=134&amp;demo=2" TargetMode = "External"/>
	<Relationship Id="rId8" Type="http://schemas.openxmlformats.org/officeDocument/2006/relationships/hyperlink" Target="https://login.consultant.ru/link/?req=doc&amp;base=LAW&amp;n=500019&amp;date=21.03.2025&amp;demo=2" TargetMode = "External"/>
	<Relationship Id="rId9" Type="http://schemas.openxmlformats.org/officeDocument/2006/relationships/hyperlink" Target="https://login.consultant.ru/link/?req=doc&amp;base=LAW&amp;n=451742&amp;date=21.03.2025&amp;demo=2" TargetMode = "External"/>
	<Relationship Id="rId10" Type="http://schemas.openxmlformats.org/officeDocument/2006/relationships/hyperlink" Target="https://login.consultant.ru/link/?req=doc&amp;base=LAW&amp;n=489340&amp;date=21.03.2025&amp;dst=100014&amp;field=134&amp;demo=2" TargetMode = "External"/>
	<Relationship Id="rId11" Type="http://schemas.openxmlformats.org/officeDocument/2006/relationships/hyperlink" Target="https://login.consultant.ru/link/?req=doc&amp;base=LAW&amp;n=489340&amp;date=21.03.2025&amp;dst=100536&amp;field=134&amp;demo=2" TargetMode = "External"/>
	<Relationship Id="rId12" Type="http://schemas.openxmlformats.org/officeDocument/2006/relationships/hyperlink" Target="https://login.consultant.ru/link/?req=doc&amp;base=LAW&amp;n=489340&amp;date=21.03.2025&amp;dst=100026&amp;field=134&amp;demo=2" TargetMode = "External"/>
	<Relationship Id="rId13" Type="http://schemas.openxmlformats.org/officeDocument/2006/relationships/hyperlink" Target="https://login.consultant.ru/link/?req=doc&amp;base=LAW&amp;n=500019&amp;date=21.03.2025&amp;demo=2" TargetMode = "External"/>
	<Relationship Id="rId14" Type="http://schemas.openxmlformats.org/officeDocument/2006/relationships/hyperlink" Target="https://login.consultant.ru/link/?req=doc&amp;base=LAW&amp;n=451742&amp;date=21.03.2025&amp;demo=2" TargetMode = "External"/>
	<Relationship Id="rId15" Type="http://schemas.openxmlformats.org/officeDocument/2006/relationships/hyperlink" Target="https://login.consultant.ru/link/?req=doc&amp;base=LAW&amp;n=53752&amp;date=21.03.2025&amp;demo=2" TargetMode = "External"/>
	<Relationship Id="rId16" Type="http://schemas.openxmlformats.org/officeDocument/2006/relationships/hyperlink" Target="https://login.consultant.ru/link/?req=doc&amp;base=LAW&amp;n=473923&amp;date=21.03.2025&amp;demo=2" TargetMode = "External"/>
</Relationships>
</file>

<file path=word/_rels/footer1.xml.rels>&#65279;<?xml version="1.0" encoding="UTF-8" standalone="yes"?>
<Relationships xmlns="http://schemas.openxmlformats.org/package/2006/relationships">
	<Relationship Id="rId1" Type="http://schemas.openxmlformats.org/officeDocument/2006/relationships/hyperlink" Target="https://www.consultant.ru" TargetMode = "External"/>
</Relationships>
</file>

<file path=word/_rels/header1.xml.rels>&#65279;<?xml version="1.0" encoding="UTF-8" standalone="yes"?>
<Relationships xmlns="http://schemas.openxmlformats.org/package/2006/relationships">
	<Relationship Id="rId1" Type="http://schemas.openxmlformats.org/officeDocument/2006/relationships/hyperlink" Target="https://www.consultant.ru" TargetMode = "External"/>
</Relationships>
</file>

<file path=docProps/app.xml><?xml version="1.0" encoding="utf-8"?>
<Properties xmlns="http://schemas.openxmlformats.org/officeDocument/2006/extended-properties" xmlns:vt="http://schemas.openxmlformats.org/officeDocument/2006/docPropsVTypes">
  <Application>КонсультантПлюс Версия 4024.00.50</Application>
  <Company>КонсультантПлюс Версия 4024.00.50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Постановление Правительства РФ от 20.03.2025 N 337
"Об утверждении Правил осуществления единовременной выплаты некоторым категориям граждан Российской Федерации в связи с 80-й годовщиной Победы в Великой Отечественной войне 1941 - 1945 годов"</dc:title>
  <dcterms:created xsi:type="dcterms:W3CDTF">2025-03-21T13:44:31Z</dcterms:created>
</cp:coreProperties>
</file>