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38"/>
              </w:rPr>
              <w:t xml:space="preserve">Приказ СФР от 24.02.2025 N 206</w:t>
              <w:br/>
              <w:t xml:space="preserve">"Об утверждении Порядка оплаты проезда лиц, указанных в пункте 1 Правил предоставления и оплаты услуг по санаторно-курортному лечению, медицинской реабилитации лиц, указанных в части 10 статьи 7 Федерального закона "О бюджете Фонда пенсионного и социального страхования Российской Федерации на 2025 год и на плановый период 2026 и 2027 годов", в центрах реабилитации Фонда пенсионного и социального страхования Российской Федерации, утвержденных постановлением Правительства Российской Федерации от 28 декабря 2024 г. N 1960, к месту прохождения санаторно-курортного лечения, медицинской реабилитации в центрах реабилитации Фонда пенсионного и социального страхования Российской Федерации и обратно"</w:t>
              <w:br/>
              <w:t xml:space="preserve">(Зарегистрировано в Минюсте России 27.03.2025 N 81674)</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31.03.2025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27 марта 2025 г. N 81674</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ФОНД ПЕНСИОННОГО И СОЦИАЛЬНОГО СТРАХОВАНИЯ</w:t>
      </w:r>
    </w:p>
    <w:p>
      <w:pPr>
        <w:pStyle w:val="2"/>
        <w:jc w:val="center"/>
      </w:pPr>
      <w:r>
        <w:rPr>
          <w:sz w:val="24"/>
        </w:rPr>
        <w:t xml:space="preserve">РОССИЙСКОЙ ФЕДЕРАЦИИ</w:t>
      </w:r>
    </w:p>
    <w:p>
      <w:pPr>
        <w:pStyle w:val="2"/>
        <w:jc w:val="both"/>
      </w:pPr>
      <w:r>
        <w:rPr>
          <w:sz w:val="24"/>
        </w:rPr>
      </w:r>
    </w:p>
    <w:p>
      <w:pPr>
        <w:pStyle w:val="2"/>
        <w:jc w:val="center"/>
      </w:pPr>
      <w:r>
        <w:rPr>
          <w:sz w:val="24"/>
        </w:rPr>
        <w:t xml:space="preserve">ПРИКАЗ</w:t>
      </w:r>
    </w:p>
    <w:p>
      <w:pPr>
        <w:pStyle w:val="2"/>
        <w:jc w:val="center"/>
      </w:pPr>
      <w:r>
        <w:rPr>
          <w:sz w:val="24"/>
        </w:rPr>
        <w:t xml:space="preserve">от 24 февраля 2025 г. N 206</w:t>
      </w:r>
    </w:p>
    <w:p>
      <w:pPr>
        <w:pStyle w:val="2"/>
        <w:jc w:val="both"/>
      </w:pPr>
      <w:r>
        <w:rPr>
          <w:sz w:val="24"/>
        </w:rPr>
      </w:r>
    </w:p>
    <w:p>
      <w:pPr>
        <w:pStyle w:val="2"/>
        <w:jc w:val="center"/>
      </w:pPr>
      <w:r>
        <w:rPr>
          <w:sz w:val="24"/>
        </w:rPr>
        <w:t xml:space="preserve">ОБ УТВЕРЖДЕНИИ ПОРЯДКА</w:t>
      </w:r>
    </w:p>
    <w:p>
      <w:pPr>
        <w:pStyle w:val="2"/>
        <w:jc w:val="center"/>
      </w:pPr>
      <w:r>
        <w:rPr>
          <w:sz w:val="24"/>
        </w:rPr>
        <w:t xml:space="preserve">ОПЛАТЫ ПРОЕЗДА ЛИЦ, УКАЗАННЫХ В ПУНКТЕ 1 ПРАВИЛ</w:t>
      </w:r>
    </w:p>
    <w:p>
      <w:pPr>
        <w:pStyle w:val="2"/>
        <w:jc w:val="center"/>
      </w:pPr>
      <w:r>
        <w:rPr>
          <w:sz w:val="24"/>
        </w:rPr>
        <w:t xml:space="preserve">ПРЕДОСТАВЛЕНИЯ И ОПЛАТЫ УСЛУГ ПО САНАТОРНО-КУРОРТНОМУ</w:t>
      </w:r>
    </w:p>
    <w:p>
      <w:pPr>
        <w:pStyle w:val="2"/>
        <w:jc w:val="center"/>
      </w:pPr>
      <w:r>
        <w:rPr>
          <w:sz w:val="24"/>
        </w:rPr>
        <w:t xml:space="preserve">ЛЕЧЕНИЮ, МЕДИЦИНСКОЙ РЕАБИЛИТАЦИИ ЛИЦ, УКАЗАННЫХ В ЧАСТИ 10</w:t>
      </w:r>
    </w:p>
    <w:p>
      <w:pPr>
        <w:pStyle w:val="2"/>
        <w:jc w:val="center"/>
      </w:pPr>
      <w:r>
        <w:rPr>
          <w:sz w:val="24"/>
        </w:rPr>
        <w:t xml:space="preserve">СТАТЬИ 7 ФЕДЕРАЛЬНОГО ЗАКОНА "О БЮДЖЕТЕ ФОНДА ПЕНСИОННОГО</w:t>
      </w:r>
    </w:p>
    <w:p>
      <w:pPr>
        <w:pStyle w:val="2"/>
        <w:jc w:val="center"/>
      </w:pPr>
      <w:r>
        <w:rPr>
          <w:sz w:val="24"/>
        </w:rPr>
        <w:t xml:space="preserve">И СОЦИАЛЬНОГО СТРАХОВАНИЯ РОССИЙСКОЙ ФЕДЕРАЦИИ НА 2025 ГОД</w:t>
      </w:r>
    </w:p>
    <w:p>
      <w:pPr>
        <w:pStyle w:val="2"/>
        <w:jc w:val="center"/>
      </w:pPr>
      <w:r>
        <w:rPr>
          <w:sz w:val="24"/>
        </w:rPr>
        <w:t xml:space="preserve">И НА ПЛАНОВЫЙ ПЕРИОД 2026 И 2027 ГОДОВ", В ЦЕНТРАХ</w:t>
      </w:r>
    </w:p>
    <w:p>
      <w:pPr>
        <w:pStyle w:val="2"/>
        <w:jc w:val="center"/>
      </w:pPr>
      <w:r>
        <w:rPr>
          <w:sz w:val="24"/>
        </w:rPr>
        <w:t xml:space="preserve">РЕАБИЛИТАЦИИ ФОНДА ПЕНСИОННОГО И СОЦИАЛЬНОГО СТРАХОВАНИЯ</w:t>
      </w:r>
    </w:p>
    <w:p>
      <w:pPr>
        <w:pStyle w:val="2"/>
        <w:jc w:val="center"/>
      </w:pPr>
      <w:r>
        <w:rPr>
          <w:sz w:val="24"/>
        </w:rPr>
        <w:t xml:space="preserve">РОССИЙСКОЙ ФЕДЕРАЦИИ, УТВЕРЖДЕННЫХ ПОСТАНОВЛЕНИЕМ</w:t>
      </w:r>
    </w:p>
    <w:p>
      <w:pPr>
        <w:pStyle w:val="2"/>
        <w:jc w:val="center"/>
      </w:pPr>
      <w:r>
        <w:rPr>
          <w:sz w:val="24"/>
        </w:rPr>
        <w:t xml:space="preserve">ПРАВИТЕЛЬСТВА РОССИЙСКОЙ ФЕДЕРАЦИИ ОТ 28 ДЕКАБРЯ 2024 Г.</w:t>
      </w:r>
    </w:p>
    <w:p>
      <w:pPr>
        <w:pStyle w:val="2"/>
        <w:jc w:val="center"/>
      </w:pPr>
      <w:r>
        <w:rPr>
          <w:sz w:val="24"/>
        </w:rPr>
        <w:t xml:space="preserve">N 1960, К МЕСТУ ПРОХОЖДЕНИЯ САНАТОРНО-КУРОРТНОГО ЛЕЧЕНИЯ,</w:t>
      </w:r>
    </w:p>
    <w:p>
      <w:pPr>
        <w:pStyle w:val="2"/>
        <w:jc w:val="center"/>
      </w:pPr>
      <w:r>
        <w:rPr>
          <w:sz w:val="24"/>
        </w:rPr>
        <w:t xml:space="preserve">МЕДИЦИНСКОЙ РЕАБИЛИТАЦИИ В ЦЕНТРАХ РЕАБИЛИТАЦИИ ФОНДА</w:t>
      </w:r>
    </w:p>
    <w:p>
      <w:pPr>
        <w:pStyle w:val="2"/>
        <w:jc w:val="center"/>
      </w:pPr>
      <w:r>
        <w:rPr>
          <w:sz w:val="24"/>
        </w:rPr>
        <w:t xml:space="preserve">ПЕНСИОННОГО И СОЦИАЛЬНОГО СТРАХОВАНИЯ РОССИЙСКОЙ</w:t>
      </w:r>
    </w:p>
    <w:p>
      <w:pPr>
        <w:pStyle w:val="2"/>
        <w:jc w:val="center"/>
      </w:pPr>
      <w:r>
        <w:rPr>
          <w:sz w:val="24"/>
        </w:rPr>
        <w:t xml:space="preserve">ФЕДЕРАЦИИ И ОБРАТНО</w:t>
      </w:r>
    </w:p>
    <w:p>
      <w:pPr>
        <w:pStyle w:val="0"/>
        <w:jc w:val="both"/>
      </w:pPr>
      <w:r>
        <w:rPr>
          <w:sz w:val="24"/>
        </w:rPr>
      </w:r>
    </w:p>
    <w:p>
      <w:pPr>
        <w:pStyle w:val="0"/>
        <w:ind w:firstLine="540"/>
        <w:jc w:val="both"/>
      </w:pPr>
      <w:r>
        <w:rPr>
          <w:sz w:val="24"/>
        </w:rPr>
        <w:t xml:space="preserve">В соответствии с </w:t>
      </w:r>
      <w:hyperlink w:history="0" r:id="rId7" w:tooltip="Постановление Правительства РФ от 28.12.2024 N 1960 &quot;Об утверждении Правил предоставления и оплаты услуг по санаторно-курортному лечению, медицинской реабилитации лиц, указанных в части 10 статьи 7 Федерального закона &quot;О бюджете Фонда пенсионного и социального страхования Российской Федерации на 2025 год и на плановый период 2026 и 2027 годов&quot;, в центрах реабилитации Фонда пенсионного и социального страхования Российской Федерации&quot; {КонсультантПлюс}">
        <w:r>
          <w:rPr>
            <w:sz w:val="24"/>
            <w:color w:val="0000ff"/>
          </w:rPr>
          <w:t xml:space="preserve">пунктом 30</w:t>
        </w:r>
      </w:hyperlink>
      <w:r>
        <w:rPr>
          <w:sz w:val="24"/>
        </w:rPr>
        <w:t xml:space="preserve"> Правил предоставления и оплаты услуг по санаторно-курортному лечению, медицинской реабилитации лиц, указанных в части 10 статьи 7 Федерального закона "О бюджете Фонда пенсионного и социального страхования Российской Федерации на 2025 год и на плановый период 2026 и 2027 годов", в центрах реабилитации Фонда пенсионного и социального страхования Российской Федерации, утвержденных постановлением Правительства Российской Федерации от 28 декабря 2024 г. N 1960, приказываю:</w:t>
      </w:r>
    </w:p>
    <w:p>
      <w:pPr>
        <w:pStyle w:val="0"/>
        <w:spacing w:before="240" w:line-rule="auto"/>
        <w:ind w:firstLine="540"/>
        <w:jc w:val="both"/>
      </w:pPr>
      <w:r>
        <w:rPr>
          <w:sz w:val="24"/>
        </w:rPr>
        <w:t xml:space="preserve">1. Утвердить прилагаемый </w:t>
      </w:r>
      <w:hyperlink w:history="0" w:anchor="P42" w:tooltip="ПОРЯДОК">
        <w:r>
          <w:rPr>
            <w:sz w:val="24"/>
            <w:color w:val="0000ff"/>
          </w:rPr>
          <w:t xml:space="preserve">Порядок</w:t>
        </w:r>
      </w:hyperlink>
      <w:r>
        <w:rPr>
          <w:sz w:val="24"/>
        </w:rPr>
        <w:t xml:space="preserve"> оплаты проезда лиц, указанных в пункте 1 Правил предоставления и оплаты услуг по санаторно-курортному лечению, медицинской реабилитации лиц, указанных в части 10 статьи 7 Федерального закона "О бюджете Фонда пенсионного и социального страхования Российской Федерации на 2025 год и на плановый период 2026 и 2027 годов", в центрах реабилитации Фонда пенсионного и социального страхования Российской Федерации, утвержденных постановлением Правительства Российской Федерации от 28 декабря 2024 г. N 1960, к месту прохождения санаторно-курортного лечения, медицинской реабилитации в центрах реабилитации Фонда пенсионного и социального страхования Российской Федерации и обратно (далее - Порядок).</w:t>
      </w:r>
    </w:p>
    <w:p>
      <w:pPr>
        <w:pStyle w:val="0"/>
        <w:spacing w:before="240" w:line-rule="auto"/>
        <w:ind w:firstLine="540"/>
        <w:jc w:val="both"/>
      </w:pPr>
      <w:r>
        <w:rPr>
          <w:sz w:val="24"/>
        </w:rPr>
        <w:t xml:space="preserve">2. Оплата проезда лицам, указанным в </w:t>
      </w:r>
      <w:hyperlink w:history="0" w:anchor="P57" w:tooltip="1. Оплата проезда лиц, указанных в пункте 1 Правил предоставления и оплаты услуг по санаторно-курортному лечению, медицинской реабилитации лиц, указанных в части 10 статьи 7 Федерального закона &quot;О бюджете Фонда пенсионного и социального страхования Российской Федерации на 2025 год и на плановый период 2026 и 2027 годов&quot;, в центрах реабилитации Фонда пенсионного и социального страхования Российской Федерации, утвержденных постановлением Правительства Российской Федерации от 28 декабря 2024 г. N 1960 (дале...">
        <w:r>
          <w:rPr>
            <w:sz w:val="24"/>
            <w:color w:val="0000ff"/>
          </w:rPr>
          <w:t xml:space="preserve">пункте 1</w:t>
        </w:r>
      </w:hyperlink>
      <w:r>
        <w:rPr>
          <w:sz w:val="24"/>
        </w:rPr>
        <w:t xml:space="preserve"> Порядка, производится с 1 января 2025 года.</w:t>
      </w:r>
    </w:p>
    <w:p>
      <w:pPr>
        <w:pStyle w:val="0"/>
        <w:jc w:val="both"/>
      </w:pPr>
      <w:r>
        <w:rPr>
          <w:sz w:val="24"/>
        </w:rPr>
      </w:r>
    </w:p>
    <w:p>
      <w:pPr>
        <w:pStyle w:val="0"/>
        <w:jc w:val="right"/>
      </w:pPr>
      <w:r>
        <w:rPr>
          <w:sz w:val="24"/>
        </w:rPr>
        <w:t xml:space="preserve">Председатель</w:t>
      </w:r>
    </w:p>
    <w:p>
      <w:pPr>
        <w:pStyle w:val="0"/>
        <w:jc w:val="right"/>
      </w:pPr>
      <w:r>
        <w:rPr>
          <w:sz w:val="24"/>
        </w:rPr>
        <w:t xml:space="preserve">С.ЧИРКОВ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w:t>
      </w:r>
    </w:p>
    <w:p>
      <w:pPr>
        <w:pStyle w:val="0"/>
        <w:jc w:val="right"/>
      </w:pPr>
      <w:r>
        <w:rPr>
          <w:sz w:val="24"/>
        </w:rPr>
        <w:t xml:space="preserve">приказом Фонда пенсионного</w:t>
      </w:r>
    </w:p>
    <w:p>
      <w:pPr>
        <w:pStyle w:val="0"/>
        <w:jc w:val="right"/>
      </w:pPr>
      <w:r>
        <w:rPr>
          <w:sz w:val="24"/>
        </w:rPr>
        <w:t xml:space="preserve">и социального страхования</w:t>
      </w:r>
    </w:p>
    <w:p>
      <w:pPr>
        <w:pStyle w:val="0"/>
        <w:jc w:val="right"/>
      </w:pPr>
      <w:r>
        <w:rPr>
          <w:sz w:val="24"/>
        </w:rPr>
        <w:t xml:space="preserve">Российской Федерации</w:t>
      </w:r>
    </w:p>
    <w:p>
      <w:pPr>
        <w:pStyle w:val="0"/>
        <w:jc w:val="right"/>
      </w:pPr>
      <w:r>
        <w:rPr>
          <w:sz w:val="24"/>
        </w:rPr>
        <w:t xml:space="preserve">от 24 февраля 2025 г. N 206</w:t>
      </w:r>
    </w:p>
    <w:p>
      <w:pPr>
        <w:pStyle w:val="0"/>
        <w:jc w:val="both"/>
      </w:pPr>
      <w:r>
        <w:rPr>
          <w:sz w:val="24"/>
        </w:rPr>
      </w:r>
    </w:p>
    <w:bookmarkStart w:id="42" w:name="P42"/>
    <w:bookmarkEnd w:id="42"/>
    <w:p>
      <w:pPr>
        <w:pStyle w:val="2"/>
        <w:jc w:val="center"/>
      </w:pPr>
      <w:r>
        <w:rPr>
          <w:sz w:val="24"/>
        </w:rPr>
        <w:t xml:space="preserve">ПОРЯДОК</w:t>
      </w:r>
    </w:p>
    <w:p>
      <w:pPr>
        <w:pStyle w:val="2"/>
        <w:jc w:val="center"/>
      </w:pPr>
      <w:r>
        <w:rPr>
          <w:sz w:val="24"/>
        </w:rPr>
        <w:t xml:space="preserve">ОПЛАТЫ ПРОЕЗДА ЛИЦ, УКАЗАННЫХ В ПУНКТЕ 1 ПРАВИЛ</w:t>
      </w:r>
    </w:p>
    <w:p>
      <w:pPr>
        <w:pStyle w:val="2"/>
        <w:jc w:val="center"/>
      </w:pPr>
      <w:r>
        <w:rPr>
          <w:sz w:val="24"/>
        </w:rPr>
        <w:t xml:space="preserve">ПРЕДОСТАВЛЕНИЯ И ОПЛАТЫ УСЛУГ ПО САНАТОРНО-КУРОРТНОМУ</w:t>
      </w:r>
    </w:p>
    <w:p>
      <w:pPr>
        <w:pStyle w:val="2"/>
        <w:jc w:val="center"/>
      </w:pPr>
      <w:r>
        <w:rPr>
          <w:sz w:val="24"/>
        </w:rPr>
        <w:t xml:space="preserve">ЛЕЧЕНИЮ, МЕДИЦИНСКОЙ РЕАБИЛИТАЦИИ ЛИЦ, УКАЗАННЫХ В ЧАСТИ 10</w:t>
      </w:r>
    </w:p>
    <w:p>
      <w:pPr>
        <w:pStyle w:val="2"/>
        <w:jc w:val="center"/>
      </w:pPr>
      <w:r>
        <w:rPr>
          <w:sz w:val="24"/>
        </w:rPr>
        <w:t xml:space="preserve">СТАТЬИ 7 ФЕДЕРАЛЬНОГО ЗАКОНА "О БЮДЖЕТЕ ФОНДА ПЕНСИОННОГО</w:t>
      </w:r>
    </w:p>
    <w:p>
      <w:pPr>
        <w:pStyle w:val="2"/>
        <w:jc w:val="center"/>
      </w:pPr>
      <w:r>
        <w:rPr>
          <w:sz w:val="24"/>
        </w:rPr>
        <w:t xml:space="preserve">И СОЦИАЛЬНОГО СТРАХОВАНИЯ РОССИЙСКОЙ ФЕДЕРАЦИИ НА 2025 ГОД</w:t>
      </w:r>
    </w:p>
    <w:p>
      <w:pPr>
        <w:pStyle w:val="2"/>
        <w:jc w:val="center"/>
      </w:pPr>
      <w:r>
        <w:rPr>
          <w:sz w:val="24"/>
        </w:rPr>
        <w:t xml:space="preserve">И НА ПЛАНОВЫЙ ПЕРИОД 2026 И 2027 ГОДОВ", В ЦЕНТРАХ</w:t>
      </w:r>
    </w:p>
    <w:p>
      <w:pPr>
        <w:pStyle w:val="2"/>
        <w:jc w:val="center"/>
      </w:pPr>
      <w:r>
        <w:rPr>
          <w:sz w:val="24"/>
        </w:rPr>
        <w:t xml:space="preserve">РЕАБИЛИТАЦИИ ФОНДА ПЕНСИОННОГО И СОЦИАЛЬНОГО СТРАХОВАНИЯ</w:t>
      </w:r>
    </w:p>
    <w:p>
      <w:pPr>
        <w:pStyle w:val="2"/>
        <w:jc w:val="center"/>
      </w:pPr>
      <w:r>
        <w:rPr>
          <w:sz w:val="24"/>
        </w:rPr>
        <w:t xml:space="preserve">РОССИЙСКОЙ ФЕДЕРАЦИИ, УТВЕРЖДЕННЫХ ПОСТАНОВЛЕНИЕМ</w:t>
      </w:r>
    </w:p>
    <w:p>
      <w:pPr>
        <w:pStyle w:val="2"/>
        <w:jc w:val="center"/>
      </w:pPr>
      <w:r>
        <w:rPr>
          <w:sz w:val="24"/>
        </w:rPr>
        <w:t xml:space="preserve">ПРАВИТЕЛЬСТВА РОССИЙСКОЙ ФЕДЕРАЦИИ ОТ 28 ДЕКАБРЯ 2024 Г.</w:t>
      </w:r>
    </w:p>
    <w:p>
      <w:pPr>
        <w:pStyle w:val="2"/>
        <w:jc w:val="center"/>
      </w:pPr>
      <w:r>
        <w:rPr>
          <w:sz w:val="24"/>
        </w:rPr>
        <w:t xml:space="preserve">N 1960, К МЕСТУ ПРОХОЖДЕНИЯ САНАТОРНО-КУРОРТНОГО ЛЕЧЕНИЯ,</w:t>
      </w:r>
    </w:p>
    <w:p>
      <w:pPr>
        <w:pStyle w:val="2"/>
        <w:jc w:val="center"/>
      </w:pPr>
      <w:r>
        <w:rPr>
          <w:sz w:val="24"/>
        </w:rPr>
        <w:t xml:space="preserve">МЕДИЦИНСКОЙ РЕАБИЛИТАЦИИ В ЦЕНТРАХ РЕАБИЛИТАЦИИ ФОНДА</w:t>
      </w:r>
    </w:p>
    <w:p>
      <w:pPr>
        <w:pStyle w:val="2"/>
        <w:jc w:val="center"/>
      </w:pPr>
      <w:r>
        <w:rPr>
          <w:sz w:val="24"/>
        </w:rPr>
        <w:t xml:space="preserve">ПЕНСИОННОГО И СОЦИАЛЬНОГО СТРАХОВАНИЯ РОССИЙСКОЙ</w:t>
      </w:r>
    </w:p>
    <w:p>
      <w:pPr>
        <w:pStyle w:val="2"/>
        <w:jc w:val="center"/>
      </w:pPr>
      <w:r>
        <w:rPr>
          <w:sz w:val="24"/>
        </w:rPr>
        <w:t xml:space="preserve">ФЕДЕРАЦИИ И ОБРАТНО</w:t>
      </w:r>
    </w:p>
    <w:p>
      <w:pPr>
        <w:pStyle w:val="0"/>
        <w:jc w:val="both"/>
      </w:pPr>
      <w:r>
        <w:rPr>
          <w:sz w:val="24"/>
        </w:rPr>
      </w:r>
    </w:p>
    <w:bookmarkStart w:id="57" w:name="P57"/>
    <w:bookmarkEnd w:id="57"/>
    <w:p>
      <w:pPr>
        <w:pStyle w:val="0"/>
        <w:ind w:firstLine="540"/>
        <w:jc w:val="both"/>
      </w:pPr>
      <w:r>
        <w:rPr>
          <w:sz w:val="24"/>
        </w:rPr>
        <w:t xml:space="preserve">1. Оплата проезда лиц, указанных в </w:t>
      </w:r>
      <w:hyperlink w:history="0" r:id="rId8" w:tooltip="Постановление Правительства РФ от 28.12.2024 N 1960 &quot;Об утверждении Правил предоставления и оплаты услуг по санаторно-курортному лечению, медицинской реабилитации лиц, указанных в части 10 статьи 7 Федерального закона &quot;О бюджете Фонда пенсионного и социального страхования Российской Федерации на 2025 год и на плановый период 2026 и 2027 годов&quot;, в центрах реабилитации Фонда пенсионного и социального страхования Российской Федерации&quot; {КонсультантПлюс}">
        <w:r>
          <w:rPr>
            <w:sz w:val="24"/>
            <w:color w:val="0000ff"/>
          </w:rPr>
          <w:t xml:space="preserve">пункте 1</w:t>
        </w:r>
      </w:hyperlink>
      <w:r>
        <w:rPr>
          <w:sz w:val="24"/>
        </w:rPr>
        <w:t xml:space="preserve"> Правил предоставления и оплаты услуг по санаторно-курортному лечению, медицинской реабилитации лиц, указанных в части 10 статьи 7 Федерального закона "О бюджете Фонда пенсионного и социального страхования Российской Федерации на 2025 год и на плановый период 2026 и 2027 годов", в центрах реабилитации Фонда пенсионного и социального страхования Российской Федерации, утвержденных постановлением Правительства Российской Федерации от 28 декабря 2024 г. N 1960 (далее соответственно - Правила N 1960, участник специальной военной операции), к месту прохождения санаторно-курортного лечения, медицинской реабилитации в центре реабилитации Фонда пенсионного и социального страхования Российской Федерации (далее соответственно - лечение, реабилитация, место лечения, реабилитации, реабилитационный центр Фонда) и обратно производится в виде компенсации (возмещения) фактически произведенных участником специальной военной операции расходов на оплату проезда к месту лечения, реабилитации и обратно (далее соответственно - компенсация, расходы) в пределах, установленных </w:t>
      </w:r>
      <w:hyperlink w:history="0" w:anchor="P58" w:tooltip="2. Компенсация производится в размере, не превышающем стоимость проезда &lt;1&gt;:">
        <w:r>
          <w:rPr>
            <w:sz w:val="24"/>
            <w:color w:val="0000ff"/>
          </w:rPr>
          <w:t xml:space="preserve">пунктами 2</w:t>
        </w:r>
      </w:hyperlink>
      <w:r>
        <w:rPr>
          <w:sz w:val="24"/>
        </w:rPr>
        <w:t xml:space="preserve">, </w:t>
      </w:r>
      <w:hyperlink w:history="0" w:anchor="P67" w:tooltip="3. При следовании участника специальной военной операции на личном автомобильном транспорте к месту лечения, реабилитации и обратно по маршруту следования компенсация осуществляется в размере расходов, но не выше стоимости, рассчитанной на основе базовых норм расхода топлива для автомобилей общего назначения, установленных Министерством транспорта Российской Федерации для соответствующих транспортных средств, и протяженности кратчайшего маршрута следования к месту лечения, реабилитации и обратно &lt;2&gt;.">
        <w:r>
          <w:rPr>
            <w:sz w:val="24"/>
            <w:color w:val="0000ff"/>
          </w:rPr>
          <w:t xml:space="preserve">3</w:t>
        </w:r>
      </w:hyperlink>
      <w:r>
        <w:rPr>
          <w:sz w:val="24"/>
        </w:rPr>
        <w:t xml:space="preserve"> настоящего Порядка.</w:t>
      </w:r>
    </w:p>
    <w:bookmarkStart w:id="58" w:name="P58"/>
    <w:bookmarkEnd w:id="58"/>
    <w:p>
      <w:pPr>
        <w:pStyle w:val="0"/>
        <w:spacing w:before="240" w:line-rule="auto"/>
        <w:ind w:firstLine="540"/>
        <w:jc w:val="both"/>
      </w:pPr>
      <w:r>
        <w:rPr>
          <w:sz w:val="24"/>
        </w:rPr>
        <w:t xml:space="preserve">2. Компенсация производится в размере, не превышающем стоимость проезда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9" w:tooltip="Постановление Правительства РФ от 28.12.2024 N 1960 &quot;Об утверждении Правил предоставления и оплаты услуг по санаторно-курортному лечению, медицинской реабилитации лиц, указанных в части 10 статьи 7 Федерального закона &quot;О бюджете Фонда пенсионного и социального страхования Российской Федерации на 2025 год и на плановый период 2026 и 2027 годов&quot;, в центрах реабилитации Фонда пенсионного и социального страхования Российской Федерации&quot; {КонсультантПлюс}">
        <w:r>
          <w:rPr>
            <w:sz w:val="24"/>
            <w:color w:val="0000ff"/>
          </w:rPr>
          <w:t xml:space="preserve">Пункт 27</w:t>
        </w:r>
      </w:hyperlink>
      <w:r>
        <w:rPr>
          <w:sz w:val="24"/>
        </w:rPr>
        <w:t xml:space="preserve"> Правил N 1960.</w:t>
      </w:r>
    </w:p>
    <w:p>
      <w:pPr>
        <w:pStyle w:val="0"/>
        <w:jc w:val="both"/>
      </w:pPr>
      <w:r>
        <w:rPr>
          <w:sz w:val="24"/>
        </w:rPr>
      </w:r>
    </w:p>
    <w:p>
      <w:pPr>
        <w:pStyle w:val="0"/>
        <w:ind w:firstLine="540"/>
        <w:jc w:val="both"/>
      </w:pPr>
      <w:r>
        <w:rPr>
          <w:sz w:val="24"/>
        </w:rPr>
        <w:t xml:space="preserve">а) на железнодорожном транспорте общего пользования - в поездах дальнего следования всех типов, в том числе фирменных поездах, вагонах всех категорий, за исключением спальных вагонов с двухместными купе и вагонов повышенной комфортности, и поездах пригородного сообщения;</w:t>
      </w:r>
    </w:p>
    <w:p>
      <w:pPr>
        <w:pStyle w:val="0"/>
        <w:spacing w:before="240" w:line-rule="auto"/>
        <w:ind w:firstLine="540"/>
        <w:jc w:val="both"/>
      </w:pPr>
      <w:r>
        <w:rPr>
          <w:sz w:val="24"/>
        </w:rPr>
        <w:t xml:space="preserve">б) на морском транспорте - на местах IV и V категорий кают судов транспортных линий (при наличии на судне), а при отсутствии спальных мест - на сидячих местах;</w:t>
      </w:r>
    </w:p>
    <w:p>
      <w:pPr>
        <w:pStyle w:val="0"/>
        <w:spacing w:before="240" w:line-rule="auto"/>
        <w:ind w:firstLine="540"/>
        <w:jc w:val="both"/>
      </w:pPr>
      <w:r>
        <w:rPr>
          <w:sz w:val="24"/>
        </w:rPr>
        <w:t xml:space="preserve">в) на внутреннем водном транспорте - на местах III категории кают судов транспортных маршрутов (при наличии на судне), а при отсутствии спальных мест - на сидячих местах;</w:t>
      </w:r>
    </w:p>
    <w:p>
      <w:pPr>
        <w:pStyle w:val="0"/>
        <w:spacing w:before="240" w:line-rule="auto"/>
        <w:ind w:firstLine="540"/>
        <w:jc w:val="both"/>
      </w:pPr>
      <w:r>
        <w:rPr>
          <w:sz w:val="24"/>
        </w:rPr>
        <w:t xml:space="preserve">г) на автомобильном транспорте общего пользования (кроме такси);</w:t>
      </w:r>
    </w:p>
    <w:p>
      <w:pPr>
        <w:pStyle w:val="0"/>
        <w:spacing w:before="240" w:line-rule="auto"/>
        <w:ind w:firstLine="540"/>
        <w:jc w:val="both"/>
      </w:pPr>
      <w:r>
        <w:rPr>
          <w:sz w:val="24"/>
        </w:rPr>
        <w:t xml:space="preserve">д) на воздушном транспорте - в салоне экономического класса.</w:t>
      </w:r>
    </w:p>
    <w:bookmarkStart w:id="67" w:name="P67"/>
    <w:bookmarkEnd w:id="67"/>
    <w:p>
      <w:pPr>
        <w:pStyle w:val="0"/>
        <w:spacing w:before="240" w:line-rule="auto"/>
        <w:ind w:firstLine="540"/>
        <w:jc w:val="both"/>
      </w:pPr>
      <w:r>
        <w:rPr>
          <w:sz w:val="24"/>
        </w:rPr>
        <w:t xml:space="preserve">3. При следовании участника специальной военной операции на личном автомобильном транспорте к месту лечения, реабилитации и обратно по маршруту следования компенсация осуществляется в размере расходов, но не выше стоимости, рассчитанной на основе базовых норм расхода топлива для автомобилей общего назначения, установленных Министерством транспорта Российской Федерации для соответствующих транспортных средств, и протяженности кратчайшего маршрута следования к месту лечения, реабилитации и обратно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10" w:tooltip="Постановление Правительства РФ от 28.12.2024 N 1960 &quot;Об утверждении Правил предоставления и оплаты услуг по санаторно-курортному лечению, медицинской реабилитации лиц, указанных в части 10 статьи 7 Федерального закона &quot;О бюджете Фонда пенсионного и социального страхования Российской Федерации на 2025 год и на плановый период 2026 и 2027 годов&quot;, в центрах реабилитации Фонда пенсионного и социального страхования Российской Федерации&quot; {КонсультантПлюс}">
        <w:r>
          <w:rPr>
            <w:sz w:val="24"/>
            <w:color w:val="0000ff"/>
          </w:rPr>
          <w:t xml:space="preserve">Пункт 28</w:t>
        </w:r>
      </w:hyperlink>
      <w:r>
        <w:rPr>
          <w:sz w:val="24"/>
        </w:rPr>
        <w:t xml:space="preserve"> Правил N 1960.</w:t>
      </w:r>
    </w:p>
    <w:p>
      <w:pPr>
        <w:pStyle w:val="0"/>
        <w:jc w:val="both"/>
      </w:pPr>
      <w:r>
        <w:rPr>
          <w:sz w:val="24"/>
        </w:rPr>
      </w:r>
    </w:p>
    <w:p>
      <w:pPr>
        <w:pStyle w:val="0"/>
        <w:ind w:firstLine="540"/>
        <w:jc w:val="both"/>
      </w:pPr>
      <w:r>
        <w:rPr>
          <w:sz w:val="24"/>
        </w:rPr>
        <w:t xml:space="preserve">4. Компенсация участнику специальной военной операции производится на основании заявления о компенсации (далее - заявление), подаваемого по </w:t>
      </w:r>
      <w:hyperlink w:history="0" r:id="rId11" w:tooltip="Постановление Правительства РФ от 28.12.2024 N 1960 &quot;Об утверждении Правил предоставления и оплаты услуг по санаторно-курортному лечению, медицинской реабилитации лиц, указанных в части 10 статьи 7 Федерального закона &quot;О бюджете Фонда пенсионного и социального страхования Российской Федерации на 2025 год и на плановый период 2026 и 2027 годов&quot;, в центрах реабилитации Фонда пенсионного и социального страхования Российской Федерации&quot; {КонсультантПлюс}">
        <w:r>
          <w:rPr>
            <w:sz w:val="24"/>
            <w:color w:val="0000ff"/>
          </w:rPr>
          <w:t xml:space="preserve">форме</w:t>
        </w:r>
      </w:hyperlink>
      <w:r>
        <w:rPr>
          <w:sz w:val="24"/>
        </w:rPr>
        <w:t xml:space="preserve"> согласно приложению N 2 к Правилам N 1960.</w:t>
      </w:r>
    </w:p>
    <w:p>
      <w:pPr>
        <w:pStyle w:val="0"/>
        <w:spacing w:before="240" w:line-rule="auto"/>
        <w:ind w:firstLine="540"/>
        <w:jc w:val="both"/>
      </w:pPr>
      <w:r>
        <w:rPr>
          <w:sz w:val="24"/>
        </w:rPr>
        <w:t xml:space="preserve">5. Заявление подается в территориальный орган Фонда пенсионного и социального страхования Российской Федерации (далее - территориальный орган Фонда) одним из следующих способов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w:t>
      </w:r>
      <w:hyperlink w:history="0" r:id="rId12" w:tooltip="Постановление Правительства РФ от 28.12.2024 N 1960 &quot;Об утверждении Правил предоставления и оплаты услуг по санаторно-курортному лечению, медицинской реабилитации лиц, указанных в части 10 статьи 7 Федерального закона &quot;О бюджете Фонда пенсионного и социального страхования Российской Федерации на 2025 год и на плановый период 2026 и 2027 годов&quot;, в центрах реабилитации Фонда пенсионного и социального страхования Российской Федерации&quot; {КонсультантПлюс}">
        <w:r>
          <w:rPr>
            <w:sz w:val="24"/>
            <w:color w:val="0000ff"/>
          </w:rPr>
          <w:t xml:space="preserve">Пункт 29</w:t>
        </w:r>
      </w:hyperlink>
      <w:r>
        <w:rPr>
          <w:sz w:val="24"/>
        </w:rPr>
        <w:t xml:space="preserve"> Правил N 1960.</w:t>
      </w:r>
    </w:p>
    <w:p>
      <w:pPr>
        <w:pStyle w:val="0"/>
        <w:jc w:val="both"/>
      </w:pPr>
      <w:r>
        <w:rPr>
          <w:sz w:val="24"/>
        </w:rPr>
      </w:r>
    </w:p>
    <w:p>
      <w:pPr>
        <w:pStyle w:val="0"/>
        <w:ind w:firstLine="540"/>
        <w:jc w:val="both"/>
      </w:pPr>
      <w:r>
        <w:rPr>
          <w:sz w:val="24"/>
        </w:rPr>
        <w:t xml:space="preserve">а) в форме электронного документа посредством федеральной государственной информационной системы "Единый портал государственных и муниципальных услуг" (далее - Единый портал), формирование заявления осуществляется посредством заполнения интерактивной формы без необходимости дополнительной подачи заявления в какой-либо иной форме;</w:t>
      </w:r>
    </w:p>
    <w:p>
      <w:pPr>
        <w:pStyle w:val="0"/>
        <w:spacing w:before="240" w:line-rule="auto"/>
        <w:ind w:firstLine="540"/>
        <w:jc w:val="both"/>
      </w:pPr>
      <w:r>
        <w:rPr>
          <w:sz w:val="24"/>
        </w:rPr>
        <w:t xml:space="preserve">б) лично в форме документа на бумажном носителе в территориальный орган Фонда по выбору участника специальной военной операции независимо от его места жительства или места пребывания.</w:t>
      </w:r>
    </w:p>
    <w:bookmarkStart w:id="78" w:name="P78"/>
    <w:bookmarkEnd w:id="78"/>
    <w:p>
      <w:pPr>
        <w:pStyle w:val="0"/>
        <w:spacing w:before="240" w:line-rule="auto"/>
        <w:ind w:firstLine="540"/>
        <w:jc w:val="both"/>
      </w:pPr>
      <w:r>
        <w:rPr>
          <w:sz w:val="24"/>
        </w:rPr>
        <w:t xml:space="preserve">6. К заявлению прилагаются проездные документы (электронные образы документов в случае, если заявление подано с использованием Единого портала), подтверждающие произведенные расходы на проезд.</w:t>
      </w:r>
    </w:p>
    <w:bookmarkStart w:id="79" w:name="P79"/>
    <w:bookmarkEnd w:id="79"/>
    <w:p>
      <w:pPr>
        <w:pStyle w:val="0"/>
        <w:spacing w:before="240" w:line-rule="auto"/>
        <w:ind w:firstLine="540"/>
        <w:jc w:val="both"/>
      </w:pPr>
      <w:r>
        <w:rPr>
          <w:sz w:val="24"/>
        </w:rPr>
        <w:t xml:space="preserve">7. В случае проезда участника специальной военной операции к месту лечения, реабилитации и обратно личным автомобильным транспортом к заявлению прилагаются следующие документы (электронные образы документов в случае, если заявление подано с использованием Единого портала):</w:t>
      </w:r>
    </w:p>
    <w:p>
      <w:pPr>
        <w:pStyle w:val="0"/>
        <w:spacing w:before="240" w:line-rule="auto"/>
        <w:ind w:firstLine="540"/>
        <w:jc w:val="both"/>
      </w:pPr>
      <w:r>
        <w:rPr>
          <w:sz w:val="24"/>
        </w:rPr>
        <w:t xml:space="preserve">правоустанавливающие документы на транспортное средство;</w:t>
      </w:r>
    </w:p>
    <w:p>
      <w:pPr>
        <w:pStyle w:val="0"/>
        <w:spacing w:before="240" w:line-rule="auto"/>
        <w:ind w:firstLine="540"/>
        <w:jc w:val="both"/>
      </w:pPr>
      <w:r>
        <w:rPr>
          <w:sz w:val="24"/>
        </w:rPr>
        <w:t xml:space="preserve">документы, подтверждающие произведенные расходы на топливо (электроэнергию).</w:t>
      </w:r>
    </w:p>
    <w:p>
      <w:pPr>
        <w:pStyle w:val="0"/>
        <w:spacing w:before="240" w:line-rule="auto"/>
        <w:ind w:firstLine="540"/>
        <w:jc w:val="both"/>
      </w:pPr>
      <w:r>
        <w:rPr>
          <w:sz w:val="24"/>
        </w:rPr>
        <w:t xml:space="preserve">8. Территориальный орган Фонда регистрирует заявление в день его поступления в территориальный орган Фонда.</w:t>
      </w:r>
    </w:p>
    <w:p>
      <w:pPr>
        <w:pStyle w:val="0"/>
        <w:spacing w:before="240" w:line-rule="auto"/>
        <w:ind w:firstLine="540"/>
        <w:jc w:val="both"/>
      </w:pPr>
      <w:r>
        <w:rPr>
          <w:sz w:val="24"/>
        </w:rPr>
        <w:t xml:space="preserve">9. Территориальный орган Фонда в течение 3 рабочих дней со дня регистрации заявления:</w:t>
      </w:r>
    </w:p>
    <w:p>
      <w:pPr>
        <w:pStyle w:val="0"/>
        <w:spacing w:before="240" w:line-rule="auto"/>
        <w:ind w:firstLine="540"/>
        <w:jc w:val="both"/>
      </w:pPr>
      <w:r>
        <w:rPr>
          <w:sz w:val="24"/>
        </w:rPr>
        <w:t xml:space="preserve">рассматривает заявление на предмет правильности оформления и полноты содержащихся в нем сведений и осуществляет проверку прилагаемых к нему документов (электронных образов проездных документов) на предмет достоверности содержащихся в них сведений;</w:t>
      </w:r>
    </w:p>
    <w:p>
      <w:pPr>
        <w:pStyle w:val="0"/>
        <w:spacing w:before="240" w:line-rule="auto"/>
        <w:ind w:firstLine="540"/>
        <w:jc w:val="both"/>
      </w:pPr>
      <w:r>
        <w:rPr>
          <w:sz w:val="24"/>
        </w:rPr>
        <w:t xml:space="preserve">проверяет факт прохождения участником специальной военной операции лечения, реабилитации в реабилитационном центре Фонда;</w:t>
      </w:r>
    </w:p>
    <w:p>
      <w:pPr>
        <w:pStyle w:val="0"/>
        <w:spacing w:before="240" w:line-rule="auto"/>
        <w:ind w:firstLine="540"/>
        <w:jc w:val="both"/>
      </w:pPr>
      <w:r>
        <w:rPr>
          <w:sz w:val="24"/>
        </w:rPr>
        <w:t xml:space="preserve">принимает решение об осуществлении компенсации (рекомендуемый образец приведен в </w:t>
      </w:r>
      <w:hyperlink w:history="0" w:anchor="P129" w:tooltip="РЕШЕНИЕ">
        <w:r>
          <w:rPr>
            <w:sz w:val="24"/>
            <w:color w:val="0000ff"/>
          </w:rPr>
          <w:t xml:space="preserve">приложении N 1</w:t>
        </w:r>
      </w:hyperlink>
      <w:r>
        <w:rPr>
          <w:sz w:val="24"/>
        </w:rPr>
        <w:t xml:space="preserve"> к настоящему Порядку) либо решение об отказе в осуществлении компенсации (рекомендуемый образец приведен в </w:t>
      </w:r>
      <w:hyperlink w:history="0" w:anchor="P217" w:tooltip="РЕШЕНИЕ">
        <w:r>
          <w:rPr>
            <w:sz w:val="24"/>
            <w:color w:val="0000ff"/>
          </w:rPr>
          <w:t xml:space="preserve">приложении N 2</w:t>
        </w:r>
      </w:hyperlink>
      <w:r>
        <w:rPr>
          <w:sz w:val="24"/>
        </w:rPr>
        <w:t xml:space="preserve"> к настоящему Порядку).</w:t>
      </w:r>
    </w:p>
    <w:p>
      <w:pPr>
        <w:pStyle w:val="0"/>
        <w:spacing w:before="240" w:line-rule="auto"/>
        <w:ind w:firstLine="540"/>
        <w:jc w:val="both"/>
      </w:pPr>
      <w:r>
        <w:rPr>
          <w:sz w:val="24"/>
        </w:rPr>
        <w:t xml:space="preserve">Решение об осуществлении компенсации либо решение об отказе в осуществлении компенсации подписывает руководитель территориального органа Фонда (лицо, исполняющее его обязанности).</w:t>
      </w:r>
    </w:p>
    <w:p>
      <w:pPr>
        <w:pStyle w:val="0"/>
        <w:spacing w:before="240" w:line-rule="auto"/>
        <w:ind w:firstLine="540"/>
        <w:jc w:val="both"/>
      </w:pPr>
      <w:r>
        <w:rPr>
          <w:sz w:val="24"/>
        </w:rPr>
        <w:t xml:space="preserve">10. Решение об отказе в осуществлении компенсации принимается в случае, если:</w:t>
      </w:r>
    </w:p>
    <w:p>
      <w:pPr>
        <w:pStyle w:val="0"/>
        <w:spacing w:before="240" w:line-rule="auto"/>
        <w:ind w:firstLine="540"/>
        <w:jc w:val="both"/>
      </w:pPr>
      <w:r>
        <w:rPr>
          <w:sz w:val="24"/>
        </w:rPr>
        <w:t xml:space="preserve">а) к заявлению не приложены документы, подтверждающие произведенные расходы на проезд, предусмотренные </w:t>
      </w:r>
      <w:hyperlink w:history="0" w:anchor="P78" w:tooltip="6. К заявлению прилагаются проездные документы (электронные образы документов в случае, если заявление подано с использованием Единого портала), подтверждающие произведенные расходы на проезд.">
        <w:r>
          <w:rPr>
            <w:sz w:val="24"/>
            <w:color w:val="0000ff"/>
          </w:rPr>
          <w:t xml:space="preserve">пунктами 6</w:t>
        </w:r>
      </w:hyperlink>
      <w:r>
        <w:rPr>
          <w:sz w:val="24"/>
        </w:rPr>
        <w:t xml:space="preserve">, </w:t>
      </w:r>
      <w:hyperlink w:history="0" w:anchor="P79" w:tooltip="7. В случае проезда участника специальной военной операции к месту лечения, реабилитации и обратно личным автомобильным транспортом к заявлению прилагаются следующие документы (электронные образы документов в случае, если заявление подано с использованием Единого портала):">
        <w:r>
          <w:rPr>
            <w:sz w:val="24"/>
            <w:color w:val="0000ff"/>
          </w:rPr>
          <w:t xml:space="preserve">7</w:t>
        </w:r>
      </w:hyperlink>
      <w:r>
        <w:rPr>
          <w:sz w:val="24"/>
        </w:rPr>
        <w:t xml:space="preserve"> настоящего Порядка;</w:t>
      </w:r>
    </w:p>
    <w:p>
      <w:pPr>
        <w:pStyle w:val="0"/>
        <w:spacing w:before="240" w:line-rule="auto"/>
        <w:ind w:firstLine="540"/>
        <w:jc w:val="both"/>
      </w:pPr>
      <w:r>
        <w:rPr>
          <w:sz w:val="24"/>
        </w:rPr>
        <w:t xml:space="preserve">б) участник специальной военной операции на день подачи заявления не прибыл в реабилитационный центр Фонда для получения лечения, реабилитации или проходит лечение, реабилитацию в реабилитационном центре Фонда и не осуществил обратную поездку от места лечения, реабилитации к месту жительства.</w:t>
      </w:r>
    </w:p>
    <w:p>
      <w:pPr>
        <w:pStyle w:val="0"/>
        <w:spacing w:before="240" w:line-rule="auto"/>
        <w:ind w:firstLine="540"/>
        <w:jc w:val="both"/>
      </w:pPr>
      <w:r>
        <w:rPr>
          <w:sz w:val="24"/>
        </w:rPr>
        <w:t xml:space="preserve">11. Территориальный орган Фонда уведомляет участника специальной военной операции о принятом решении об осуществлении компенсации либо решении об отказе в осуществлении компенсации не позднее следующего рабочего дня со дня принятия решения об осуществлении компенсации с указанием даты осуществления компенсации или об отказе в осуществлении компенсации одним из следующих способов:</w:t>
      </w:r>
    </w:p>
    <w:p>
      <w:pPr>
        <w:pStyle w:val="0"/>
        <w:spacing w:before="240" w:line-rule="auto"/>
        <w:ind w:firstLine="540"/>
        <w:jc w:val="both"/>
      </w:pPr>
      <w:r>
        <w:rPr>
          <w:sz w:val="24"/>
        </w:rPr>
        <w:t xml:space="preserve">в случае подачи заявления посредством Единого портала - через личный кабинет участника специальной военной операции на Едином портале;</w:t>
      </w:r>
    </w:p>
    <w:p>
      <w:pPr>
        <w:pStyle w:val="0"/>
        <w:spacing w:before="240" w:line-rule="auto"/>
        <w:ind w:firstLine="540"/>
        <w:jc w:val="both"/>
      </w:pPr>
      <w:r>
        <w:rPr>
          <w:sz w:val="24"/>
        </w:rPr>
        <w:t xml:space="preserve">при подаче заявления на бумажном носителе - на адрес электронной почты, указанный участником специальной военной операции в заявлении, или иным способом, указанным в заявлении.</w:t>
      </w:r>
    </w:p>
    <w:p>
      <w:pPr>
        <w:pStyle w:val="0"/>
        <w:spacing w:before="240" w:line-rule="auto"/>
        <w:ind w:firstLine="540"/>
        <w:jc w:val="both"/>
      </w:pPr>
      <w:r>
        <w:rPr>
          <w:sz w:val="24"/>
        </w:rPr>
        <w:t xml:space="preserve">12. Территориальный орган Фонда в течение 2 рабочих дней со дня принятия решения об осуществлении компенсации направляет указанное решение в реабилитационный центр Фонда с копией заявления участника специальной военной операции.</w:t>
      </w:r>
    </w:p>
    <w:p>
      <w:pPr>
        <w:pStyle w:val="0"/>
        <w:spacing w:before="240" w:line-rule="auto"/>
        <w:ind w:firstLine="540"/>
        <w:jc w:val="both"/>
      </w:pPr>
      <w:r>
        <w:rPr>
          <w:sz w:val="24"/>
        </w:rPr>
        <w:t xml:space="preserve">13. Предоставление компенсации участнику специальной военной операции осуществляется реабилитационным центром Фонда не позднее 12 рабочих дней со дня получения от территориального органа Фонда решения об осуществлении компенсации путем зачисления суммы компенсации на лицевой счет в кредитной организации или банковскую карту участника специальной военной операции, указанные в заявлении.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w:t>
      </w:r>
    </w:p>
    <w:p>
      <w:pPr>
        <w:pStyle w:val="0"/>
        <w:jc w:val="right"/>
      </w:pPr>
      <w:r>
        <w:rPr>
          <w:sz w:val="24"/>
        </w:rPr>
        <w:t xml:space="preserve">к Порядку оплаты проезда лиц,</w:t>
      </w:r>
    </w:p>
    <w:p>
      <w:pPr>
        <w:pStyle w:val="0"/>
        <w:jc w:val="right"/>
      </w:pPr>
      <w:r>
        <w:rPr>
          <w:sz w:val="24"/>
        </w:rPr>
        <w:t xml:space="preserve">указанных в пункте 1 Правил</w:t>
      </w:r>
    </w:p>
    <w:p>
      <w:pPr>
        <w:pStyle w:val="0"/>
        <w:jc w:val="right"/>
      </w:pPr>
      <w:r>
        <w:rPr>
          <w:sz w:val="24"/>
        </w:rPr>
        <w:t xml:space="preserve">предоставления и оплаты услуг</w:t>
      </w:r>
    </w:p>
    <w:p>
      <w:pPr>
        <w:pStyle w:val="0"/>
        <w:jc w:val="right"/>
      </w:pPr>
      <w:r>
        <w:rPr>
          <w:sz w:val="24"/>
        </w:rPr>
        <w:t xml:space="preserve">по санаторно-курортному лечению,</w:t>
      </w:r>
    </w:p>
    <w:p>
      <w:pPr>
        <w:pStyle w:val="0"/>
        <w:jc w:val="right"/>
      </w:pPr>
      <w:r>
        <w:rPr>
          <w:sz w:val="24"/>
        </w:rPr>
        <w:t xml:space="preserve">медицинской реабилитации лиц,</w:t>
      </w:r>
    </w:p>
    <w:p>
      <w:pPr>
        <w:pStyle w:val="0"/>
        <w:jc w:val="right"/>
      </w:pPr>
      <w:r>
        <w:rPr>
          <w:sz w:val="24"/>
        </w:rPr>
        <w:t xml:space="preserve">указанных в части 10 статьи 7</w:t>
      </w:r>
    </w:p>
    <w:p>
      <w:pPr>
        <w:pStyle w:val="0"/>
        <w:jc w:val="right"/>
      </w:pPr>
      <w:r>
        <w:rPr>
          <w:sz w:val="24"/>
        </w:rPr>
        <w:t xml:space="preserve">Федерального закона "О бюджете Фонда</w:t>
      </w:r>
    </w:p>
    <w:p>
      <w:pPr>
        <w:pStyle w:val="0"/>
        <w:jc w:val="right"/>
      </w:pPr>
      <w:r>
        <w:rPr>
          <w:sz w:val="24"/>
        </w:rPr>
        <w:t xml:space="preserve">пенсионного и социального страхования</w:t>
      </w:r>
    </w:p>
    <w:p>
      <w:pPr>
        <w:pStyle w:val="0"/>
        <w:jc w:val="right"/>
      </w:pPr>
      <w:r>
        <w:rPr>
          <w:sz w:val="24"/>
        </w:rPr>
        <w:t xml:space="preserve">Российской Федерации на 2025 год</w:t>
      </w:r>
    </w:p>
    <w:p>
      <w:pPr>
        <w:pStyle w:val="0"/>
        <w:jc w:val="right"/>
      </w:pPr>
      <w:r>
        <w:rPr>
          <w:sz w:val="24"/>
        </w:rPr>
        <w:t xml:space="preserve">и на плановый период 2026 и 2027 годов",</w:t>
      </w:r>
    </w:p>
    <w:p>
      <w:pPr>
        <w:pStyle w:val="0"/>
        <w:jc w:val="right"/>
      </w:pPr>
      <w:r>
        <w:rPr>
          <w:sz w:val="24"/>
        </w:rPr>
        <w:t xml:space="preserve">в центрах реабилитации Фонда</w:t>
      </w:r>
    </w:p>
    <w:p>
      <w:pPr>
        <w:pStyle w:val="0"/>
        <w:jc w:val="right"/>
      </w:pPr>
      <w:r>
        <w:rPr>
          <w:sz w:val="24"/>
        </w:rPr>
        <w:t xml:space="preserve">пенсионного и социального страхования</w:t>
      </w:r>
    </w:p>
    <w:p>
      <w:pPr>
        <w:pStyle w:val="0"/>
        <w:jc w:val="right"/>
      </w:pPr>
      <w:r>
        <w:rPr>
          <w:sz w:val="24"/>
        </w:rPr>
        <w:t xml:space="preserve">Российской Федерации, утвержденных</w:t>
      </w:r>
    </w:p>
    <w:p>
      <w:pPr>
        <w:pStyle w:val="0"/>
        <w:jc w:val="right"/>
      </w:pPr>
      <w:r>
        <w:rPr>
          <w:sz w:val="24"/>
        </w:rPr>
        <w:t xml:space="preserve">постановлением Правительства Российской</w:t>
      </w:r>
    </w:p>
    <w:p>
      <w:pPr>
        <w:pStyle w:val="0"/>
        <w:jc w:val="right"/>
      </w:pPr>
      <w:r>
        <w:rPr>
          <w:sz w:val="24"/>
        </w:rPr>
        <w:t xml:space="preserve">Федерации от 28 декабря 2024 г. N 1960,</w:t>
      </w:r>
    </w:p>
    <w:p>
      <w:pPr>
        <w:pStyle w:val="0"/>
        <w:jc w:val="right"/>
      </w:pPr>
      <w:r>
        <w:rPr>
          <w:sz w:val="24"/>
        </w:rPr>
        <w:t xml:space="preserve">к месту прохождения санаторно-курортного</w:t>
      </w:r>
    </w:p>
    <w:p>
      <w:pPr>
        <w:pStyle w:val="0"/>
        <w:jc w:val="right"/>
      </w:pPr>
      <w:r>
        <w:rPr>
          <w:sz w:val="24"/>
        </w:rPr>
        <w:t xml:space="preserve">лечения, медицинской реабилитации</w:t>
      </w:r>
    </w:p>
    <w:p>
      <w:pPr>
        <w:pStyle w:val="0"/>
        <w:jc w:val="right"/>
      </w:pPr>
      <w:r>
        <w:rPr>
          <w:sz w:val="24"/>
        </w:rPr>
        <w:t xml:space="preserve">в центрах реабилитации Фонда пенсионного</w:t>
      </w:r>
    </w:p>
    <w:p>
      <w:pPr>
        <w:pStyle w:val="0"/>
        <w:jc w:val="right"/>
      </w:pPr>
      <w:r>
        <w:rPr>
          <w:sz w:val="24"/>
        </w:rPr>
        <w:t xml:space="preserve">и социального страхования</w:t>
      </w:r>
    </w:p>
    <w:p>
      <w:pPr>
        <w:pStyle w:val="0"/>
        <w:jc w:val="right"/>
      </w:pPr>
      <w:r>
        <w:rPr>
          <w:sz w:val="24"/>
        </w:rPr>
        <w:t xml:space="preserve">Российской Федерации и обратно</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tbl>
      <w:tblPr>
        <w:tblInd w:w="0" w:type="dxa"/>
        <w:tblLayout w:type="fixed"/>
        <w:tblCellMar>
          <w:top w:w="102" w:type="dxa"/>
          <w:left w:w="62" w:type="dxa"/>
          <w:bottom w:w="102" w:type="dxa"/>
          <w:right w:w="62" w:type="dxa"/>
        </w:tblCellMar>
      </w:tblPr>
      <w:tblGrid>
        <w:gridCol w:w="9014"/>
      </w:tblGrid>
      <w:tr>
        <w:tc>
          <w:tcPr>
            <w:tcW w:w="9014" w:type="dxa"/>
            <w:tcBorders>
              <w:top w:val="nil"/>
              <w:left w:val="nil"/>
              <w:bottom w:val="nil"/>
              <w:right w:val="nil"/>
            </w:tcBorders>
          </w:tcPr>
          <w:p>
            <w:pPr>
              <w:pStyle w:val="0"/>
              <w:jc w:val="center"/>
            </w:pPr>
            <w:r>
              <w:rPr>
                <w:sz w:val="24"/>
              </w:rPr>
              <w:t xml:space="preserve">ФОНД ПЕНСИОННОГО И СОЦИАЛЬНОГО СТРАХОВАНИЯ РОССИЙСКОЙ ФЕДЕРАЦИИ</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14"/>
      </w:tblGrid>
      <w:tr>
        <w:tc>
          <w:tcPr>
            <w:tcW w:w="9014" w:type="dxa"/>
            <w:tcBorders>
              <w:top w:val="nil"/>
              <w:left w:val="nil"/>
              <w:bottom w:val="nil"/>
              <w:right w:val="nil"/>
            </w:tcBorders>
          </w:tcPr>
          <w:p>
            <w:pPr>
              <w:pStyle w:val="0"/>
              <w:jc w:val="center"/>
            </w:pPr>
            <w:r>
              <w:rPr>
                <w:sz w:val="24"/>
              </w:rPr>
              <w:t xml:space="preserve">ОТДЕЛЕНИЕ ФОНДА ПЕНСИОННОГО И СОЦИАЛЬНОГО СТРАХОВАНИЯ РОССИЙСКОЙ ФЕДЕРАЦИИ ПО ______________________________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14"/>
      </w:tblGrid>
      <w:tr>
        <w:tc>
          <w:tcPr>
            <w:tcW w:w="9014" w:type="dxa"/>
            <w:tcBorders>
              <w:top w:val="nil"/>
              <w:left w:val="nil"/>
              <w:bottom w:val="nil"/>
              <w:right w:val="nil"/>
            </w:tcBorders>
          </w:tcPr>
          <w:bookmarkStart w:id="129" w:name="P129"/>
          <w:bookmarkEnd w:id="129"/>
          <w:p>
            <w:pPr>
              <w:pStyle w:val="0"/>
              <w:jc w:val="center"/>
            </w:pPr>
            <w:r>
              <w:rPr>
                <w:sz w:val="24"/>
              </w:rPr>
              <w:t xml:space="preserve">РЕШЕНИЕ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808"/>
        <w:gridCol w:w="826"/>
        <w:gridCol w:w="2928"/>
        <w:gridCol w:w="374"/>
        <w:gridCol w:w="494"/>
        <w:gridCol w:w="1604"/>
      </w:tblGrid>
      <w:tr>
        <w:tc>
          <w:tcPr>
            <w:tcW w:w="2808" w:type="dxa"/>
            <w:vAlign w:val="bottom"/>
            <w:tcBorders>
              <w:top w:val="nil"/>
              <w:left w:val="nil"/>
              <w:bottom w:val="single" w:sz="4"/>
              <w:right w:val="nil"/>
            </w:tcBorders>
          </w:tcPr>
          <w:p>
            <w:pPr>
              <w:pStyle w:val="0"/>
            </w:pPr>
            <w:r>
              <w:rPr>
                <w:sz w:val="24"/>
              </w:rPr>
            </w:r>
          </w:p>
        </w:tc>
        <w:tc>
          <w:tcPr>
            <w:tcW w:w="826" w:type="dxa"/>
            <w:tcBorders>
              <w:top w:val="nil"/>
              <w:left w:val="nil"/>
              <w:bottom w:val="nil"/>
              <w:right w:val="nil"/>
            </w:tcBorders>
          </w:tcPr>
          <w:p>
            <w:pPr>
              <w:pStyle w:val="0"/>
            </w:pPr>
            <w:r>
              <w:rPr>
                <w:sz w:val="24"/>
              </w:rPr>
            </w:r>
          </w:p>
        </w:tc>
        <w:tc>
          <w:tcPr>
            <w:tcW w:w="2928" w:type="dxa"/>
            <w:vAlign w:val="center"/>
            <w:tcBorders>
              <w:top w:val="nil"/>
              <w:left w:val="nil"/>
              <w:bottom w:val="nil"/>
              <w:right w:val="nil"/>
            </w:tcBorders>
          </w:tcPr>
          <w:p>
            <w:pPr>
              <w:pStyle w:val="0"/>
            </w:pPr>
            <w:r>
              <w:rPr>
                <w:sz w:val="24"/>
              </w:rPr>
            </w:r>
          </w:p>
        </w:tc>
        <w:tc>
          <w:tcPr>
            <w:tcW w:w="374" w:type="dxa"/>
            <w:tcBorders>
              <w:top w:val="nil"/>
              <w:left w:val="nil"/>
              <w:bottom w:val="nil"/>
              <w:right w:val="nil"/>
            </w:tcBorders>
          </w:tcPr>
          <w:p>
            <w:pPr>
              <w:pStyle w:val="0"/>
            </w:pPr>
            <w:r>
              <w:rPr>
                <w:sz w:val="24"/>
              </w:rPr>
            </w:r>
          </w:p>
        </w:tc>
        <w:tc>
          <w:tcPr>
            <w:tcW w:w="494" w:type="dxa"/>
            <w:vAlign w:val="bottom"/>
            <w:tcBorders>
              <w:top w:val="nil"/>
              <w:left w:val="nil"/>
              <w:bottom w:val="nil"/>
              <w:right w:val="nil"/>
            </w:tcBorders>
          </w:tcPr>
          <w:p>
            <w:pPr>
              <w:pStyle w:val="0"/>
            </w:pPr>
            <w:r>
              <w:rPr>
                <w:sz w:val="24"/>
              </w:rPr>
              <w:t xml:space="preserve">N</w:t>
            </w:r>
          </w:p>
        </w:tc>
        <w:tc>
          <w:tcPr>
            <w:tcW w:w="1604" w:type="dxa"/>
            <w:tcBorders>
              <w:top w:val="nil"/>
              <w:left w:val="nil"/>
              <w:bottom w:val="single" w:sz="4"/>
              <w:right w:val="nil"/>
            </w:tcBorders>
          </w:tcPr>
          <w:p>
            <w:pPr>
              <w:pStyle w:val="0"/>
            </w:pPr>
            <w:r>
              <w:rPr>
                <w:sz w:val="24"/>
              </w:rPr>
            </w:r>
          </w:p>
        </w:tc>
      </w:tr>
      <w:tr>
        <w:tc>
          <w:tcPr>
            <w:tcW w:w="2808" w:type="dxa"/>
            <w:tcBorders>
              <w:top w:val="single" w:sz="4"/>
              <w:left w:val="nil"/>
              <w:bottom w:val="nil"/>
              <w:right w:val="nil"/>
            </w:tcBorders>
          </w:tcPr>
          <w:p>
            <w:pPr>
              <w:pStyle w:val="0"/>
              <w:jc w:val="center"/>
            </w:pPr>
            <w:r>
              <w:rPr>
                <w:sz w:val="24"/>
              </w:rPr>
              <w:t xml:space="preserve">(дата)</w:t>
            </w:r>
          </w:p>
        </w:tc>
        <w:tc>
          <w:tcPr>
            <w:tcW w:w="826" w:type="dxa"/>
            <w:tcBorders>
              <w:top w:val="nil"/>
              <w:left w:val="nil"/>
              <w:bottom w:val="nil"/>
              <w:right w:val="nil"/>
            </w:tcBorders>
          </w:tcPr>
          <w:p>
            <w:pPr>
              <w:pStyle w:val="0"/>
            </w:pPr>
            <w:r>
              <w:rPr>
                <w:sz w:val="24"/>
              </w:rPr>
            </w:r>
          </w:p>
        </w:tc>
        <w:tc>
          <w:tcPr>
            <w:tcW w:w="2928" w:type="dxa"/>
            <w:tcBorders>
              <w:top w:val="nil"/>
              <w:left w:val="nil"/>
              <w:bottom w:val="nil"/>
              <w:right w:val="nil"/>
            </w:tcBorders>
          </w:tcPr>
          <w:p>
            <w:pPr>
              <w:pStyle w:val="0"/>
            </w:pPr>
            <w:r>
              <w:rPr>
                <w:sz w:val="24"/>
              </w:rPr>
            </w:r>
          </w:p>
        </w:tc>
        <w:tc>
          <w:tcPr>
            <w:tcW w:w="374" w:type="dxa"/>
            <w:tcBorders>
              <w:top w:val="nil"/>
              <w:left w:val="nil"/>
              <w:bottom w:val="nil"/>
              <w:right w:val="nil"/>
            </w:tcBorders>
          </w:tcPr>
          <w:p>
            <w:pPr>
              <w:pStyle w:val="0"/>
            </w:pPr>
            <w:r>
              <w:rPr>
                <w:sz w:val="24"/>
              </w:rPr>
            </w:r>
          </w:p>
        </w:tc>
        <w:tc>
          <w:tcPr>
            <w:tcW w:w="494" w:type="dxa"/>
            <w:tcBorders>
              <w:top w:val="nil"/>
              <w:left w:val="nil"/>
              <w:bottom w:val="nil"/>
              <w:right w:val="nil"/>
            </w:tcBorders>
          </w:tcPr>
          <w:p>
            <w:pPr>
              <w:pStyle w:val="0"/>
            </w:pPr>
            <w:r>
              <w:rPr>
                <w:sz w:val="24"/>
              </w:rPr>
            </w:r>
          </w:p>
        </w:tc>
        <w:tc>
          <w:tcPr>
            <w:tcW w:w="1604" w:type="dxa"/>
            <w:tcBorders>
              <w:top w:val="single" w:sz="4"/>
              <w:left w:val="nil"/>
              <w:bottom w:val="nil"/>
              <w:right w:val="nil"/>
            </w:tcBorders>
          </w:tcPr>
          <w:p>
            <w:pPr>
              <w:pStyle w:val="0"/>
            </w:pPr>
            <w:r>
              <w:rPr>
                <w:sz w:val="24"/>
              </w:rPr>
            </w:r>
          </w:p>
        </w:tc>
      </w:tr>
    </w:tbl>
    <w:p>
      <w:pPr>
        <w:pStyle w:val="0"/>
        <w:jc w:val="both"/>
      </w:pPr>
      <w:r>
        <w:rPr>
          <w:sz w:val="24"/>
        </w:rPr>
      </w:r>
    </w:p>
    <w:p>
      <w:pPr>
        <w:pStyle w:val="1"/>
        <w:jc w:val="both"/>
      </w:pPr>
      <w:r>
        <w:rPr>
          <w:sz w:val="20"/>
        </w:rPr>
        <w:t xml:space="preserve">                             Об осуществлении</w:t>
      </w:r>
    </w:p>
    <w:p>
      <w:pPr>
        <w:pStyle w:val="1"/>
        <w:jc w:val="both"/>
      </w:pPr>
      <w:r>
        <w:rPr>
          <w:sz w:val="20"/>
        </w:rPr>
        <w:t xml:space="preserve">        компенсации расходов на проезд к месту санаторно-курортного</w:t>
      </w:r>
    </w:p>
    <w:p>
      <w:pPr>
        <w:pStyle w:val="1"/>
        <w:jc w:val="both"/>
      </w:pPr>
      <w:r>
        <w:rPr>
          <w:sz w:val="20"/>
        </w:rPr>
        <w:t xml:space="preserve">          лечения, медицинской реабилитации в центре реабилитации</w:t>
      </w:r>
    </w:p>
    <w:p>
      <w:pPr>
        <w:pStyle w:val="1"/>
        <w:jc w:val="both"/>
      </w:pPr>
      <w:r>
        <w:rPr>
          <w:sz w:val="20"/>
        </w:rPr>
        <w:t xml:space="preserve">                Фонда пенсионного и социального страхования</w:t>
      </w:r>
    </w:p>
    <w:p>
      <w:pPr>
        <w:pStyle w:val="1"/>
        <w:jc w:val="both"/>
      </w:pPr>
      <w:r>
        <w:rPr>
          <w:sz w:val="20"/>
        </w:rPr>
        <w:t xml:space="preserve">                      Российской Федерации и обратно</w:t>
      </w:r>
    </w:p>
    <w:p>
      <w:pPr>
        <w:pStyle w:val="1"/>
        <w:jc w:val="both"/>
      </w:pPr>
      <w:r>
        <w:rPr>
          <w:sz w:val="20"/>
        </w:rPr>
      </w:r>
    </w:p>
    <w:p>
      <w:pPr>
        <w:pStyle w:val="1"/>
        <w:jc w:val="both"/>
      </w:pPr>
      <w:r>
        <w:rPr>
          <w:sz w:val="20"/>
        </w:rPr>
        <w:t xml:space="preserve">Получатель ________________________________________________________________</w:t>
      </w:r>
    </w:p>
    <w:p>
      <w:pPr>
        <w:pStyle w:val="1"/>
        <w:jc w:val="both"/>
      </w:pPr>
      <w:r>
        <w:rPr>
          <w:sz w:val="20"/>
        </w:rPr>
        <w:t xml:space="preserve">                        (фамилия, имя, отчество (при наличии)</w:t>
      </w:r>
    </w:p>
    <w:p>
      <w:pPr>
        <w:pStyle w:val="1"/>
        <w:jc w:val="both"/>
      </w:pPr>
      <w:r>
        <w:rPr>
          <w:sz w:val="20"/>
        </w:rPr>
        <w:t xml:space="preserve">Страховой номер индивидуального лицевого счета ____________________________</w:t>
      </w:r>
    </w:p>
    <w:p>
      <w:pPr>
        <w:pStyle w:val="1"/>
        <w:jc w:val="both"/>
      </w:pPr>
      <w:r>
        <w:rPr>
          <w:sz w:val="20"/>
        </w:rPr>
      </w:r>
    </w:p>
    <w:p>
      <w:pPr>
        <w:pStyle w:val="1"/>
        <w:jc w:val="both"/>
      </w:pPr>
      <w:r>
        <w:rPr>
          <w:sz w:val="20"/>
        </w:rPr>
        <w:t xml:space="preserve">    Отделением  Фонда  пенсионного  и  социального  страхования  Российской</w:t>
      </w:r>
    </w:p>
    <w:p>
      <w:pPr>
        <w:pStyle w:val="1"/>
        <w:jc w:val="both"/>
      </w:pPr>
      <w:r>
        <w:rPr>
          <w:sz w:val="20"/>
        </w:rPr>
        <w:t xml:space="preserve">Федерации по ______________________________________________________________</w:t>
      </w:r>
    </w:p>
    <w:p>
      <w:pPr>
        <w:pStyle w:val="1"/>
        <w:jc w:val="both"/>
      </w:pPr>
      <w:r>
        <w:rPr>
          <w:sz w:val="20"/>
        </w:rPr>
        <w:t xml:space="preserve">                (наименование Отделения Фонда пенсионного и социального</w:t>
      </w:r>
    </w:p>
    <w:p>
      <w:pPr>
        <w:pStyle w:val="1"/>
        <w:jc w:val="both"/>
      </w:pPr>
      <w:r>
        <w:rPr>
          <w:sz w:val="20"/>
        </w:rPr>
        <w:t xml:space="preserve">                           страхования Российской Федерации)</w:t>
      </w:r>
    </w:p>
    <w:p>
      <w:pPr>
        <w:pStyle w:val="1"/>
        <w:jc w:val="both"/>
      </w:pPr>
      <w:r>
        <w:rPr>
          <w:sz w:val="20"/>
        </w:rPr>
        <w:t xml:space="preserve">по  Вашему  заявлению  о компенсации расходов на проезд к месту прохождения</w:t>
      </w:r>
    </w:p>
    <w:p>
      <w:pPr>
        <w:pStyle w:val="1"/>
        <w:jc w:val="both"/>
      </w:pPr>
      <w:r>
        <w:rPr>
          <w:sz w:val="20"/>
        </w:rPr>
        <w:t xml:space="preserve">санаторно-курортного    лечения,    медицинской   реабилитации   в   центре</w:t>
      </w:r>
    </w:p>
    <w:p>
      <w:pPr>
        <w:pStyle w:val="1"/>
        <w:jc w:val="both"/>
      </w:pPr>
      <w:r>
        <w:rPr>
          <w:sz w:val="20"/>
        </w:rPr>
        <w:t xml:space="preserve">реабилитации   Фонда   пенсионного  и  социального  страхования  Российской</w:t>
      </w:r>
    </w:p>
    <w:p>
      <w:pPr>
        <w:pStyle w:val="1"/>
        <w:jc w:val="both"/>
      </w:pPr>
      <w:r>
        <w:rPr>
          <w:sz w:val="20"/>
        </w:rPr>
        <w:t xml:space="preserve">Федерации и обратно N _____________________________________________________</w:t>
      </w:r>
    </w:p>
    <w:p>
      <w:pPr>
        <w:pStyle w:val="1"/>
        <w:jc w:val="both"/>
      </w:pPr>
      <w:r>
        <w:rPr>
          <w:sz w:val="20"/>
        </w:rPr>
        <w:t xml:space="preserve">                                (регистрационный номер заявления)</w:t>
      </w:r>
    </w:p>
    <w:p>
      <w:pPr>
        <w:pStyle w:val="1"/>
        <w:jc w:val="both"/>
      </w:pPr>
      <w:r>
        <w:rPr>
          <w:sz w:val="20"/>
        </w:rPr>
        <w:t xml:space="preserve">от ______________ принято решение:</w:t>
      </w:r>
    </w:p>
    <w:p>
      <w:pPr>
        <w:pStyle w:val="1"/>
        <w:jc w:val="both"/>
      </w:pPr>
      <w:r>
        <w:rPr>
          <w:sz w:val="20"/>
        </w:rPr>
        <w:t xml:space="preserve">       (дата)</w:t>
      </w:r>
    </w:p>
    <w:p>
      <w:pPr>
        <w:pStyle w:val="1"/>
        <w:jc w:val="both"/>
      </w:pPr>
      <w:r>
        <w:rPr>
          <w:sz w:val="20"/>
        </w:rPr>
        <w:t xml:space="preserve">    об    осуществлении    компенсации   расходов   на   проезд   к   месту</w:t>
      </w:r>
    </w:p>
    <w:p>
      <w:pPr>
        <w:pStyle w:val="1"/>
        <w:jc w:val="both"/>
      </w:pPr>
      <w:r>
        <w:rPr>
          <w:sz w:val="20"/>
        </w:rPr>
        <w:t xml:space="preserve">санаторно-курортного    лечения,    медицинской   реабилитации   в   центре</w:t>
      </w:r>
    </w:p>
    <w:p>
      <w:pPr>
        <w:pStyle w:val="1"/>
        <w:jc w:val="both"/>
      </w:pPr>
      <w:r>
        <w:rPr>
          <w:sz w:val="20"/>
        </w:rPr>
        <w:t xml:space="preserve">реабилитации   Фонда   пенсионного  и  социального  страхования  Российской</w:t>
      </w:r>
    </w:p>
    <w:p>
      <w:pPr>
        <w:pStyle w:val="1"/>
        <w:jc w:val="both"/>
      </w:pPr>
      <w:r>
        <w:rPr>
          <w:sz w:val="20"/>
        </w:rPr>
        <w:t xml:space="preserve">Федерации и обратно в сумме: _________ (_______________) рублей ___ копеек.</w:t>
      </w:r>
    </w:p>
    <w:p>
      <w:pPr>
        <w:pStyle w:val="1"/>
        <w:jc w:val="both"/>
      </w:pPr>
      <w:r>
        <w:rPr>
          <w:sz w:val="20"/>
        </w:rPr>
        <w:t xml:space="preserve">                             (цифрами)    (прописью)</w:t>
      </w:r>
    </w:p>
    <w:p>
      <w:pPr>
        <w:pStyle w:val="1"/>
        <w:jc w:val="both"/>
      </w:pPr>
      <w:r>
        <w:rPr>
          <w:sz w:val="20"/>
        </w:rPr>
        <w:t xml:space="preserve">    Срок выплаты компенсации - до "__" __________ 2025 года.</w:t>
      </w:r>
    </w:p>
    <w:p>
      <w:pPr>
        <w:pStyle w:val="0"/>
        <w:jc w:val="both"/>
      </w:pPr>
      <w:r>
        <w:rPr>
          <w:sz w:val="24"/>
        </w:rPr>
      </w:r>
    </w:p>
    <w:tbl>
      <w:tblPr>
        <w:tblInd w:w="0" w:type="dxa"/>
        <w:tblLayout w:type="fixed"/>
        <w:tblCellMar>
          <w:top w:w="102" w:type="dxa"/>
          <w:left w:w="62" w:type="dxa"/>
          <w:bottom w:w="102" w:type="dxa"/>
          <w:right w:w="62" w:type="dxa"/>
        </w:tblCellMar>
      </w:tblPr>
      <w:tblGrid>
        <w:gridCol w:w="2702"/>
        <w:gridCol w:w="340"/>
        <w:gridCol w:w="1814"/>
        <w:gridCol w:w="403"/>
        <w:gridCol w:w="3798"/>
      </w:tblGrid>
      <w:tr>
        <w:tc>
          <w:tcPr>
            <w:tcW w:w="2702" w:type="dxa"/>
            <w:vAlign w:val="bottom"/>
            <w:tcBorders>
              <w:top w:val="nil"/>
              <w:left w:val="nil"/>
              <w:bottom w:val="nil"/>
              <w:right w:val="nil"/>
            </w:tcBorders>
          </w:tcPr>
          <w:p>
            <w:pPr>
              <w:pStyle w:val="0"/>
            </w:pPr>
            <w:r>
              <w:rPr>
                <w:sz w:val="24"/>
              </w:rPr>
              <w:t xml:space="preserve">Руководитель</w:t>
            </w:r>
          </w:p>
          <w:p>
            <w:pPr>
              <w:pStyle w:val="0"/>
            </w:pPr>
            <w:r>
              <w:rPr>
                <w:sz w:val="24"/>
              </w:rPr>
              <w:t xml:space="preserve">Отделения СФР</w:t>
            </w:r>
          </w:p>
        </w:tc>
        <w:tc>
          <w:tcPr>
            <w:tcW w:w="340" w:type="dxa"/>
            <w:tcBorders>
              <w:top w:val="nil"/>
              <w:left w:val="nil"/>
              <w:bottom w:val="nil"/>
              <w:right w:val="nil"/>
            </w:tcBorders>
          </w:tcPr>
          <w:p>
            <w:pPr>
              <w:pStyle w:val="0"/>
            </w:pPr>
            <w:r>
              <w:rPr>
                <w:sz w:val="24"/>
              </w:rPr>
            </w:r>
          </w:p>
        </w:tc>
        <w:tc>
          <w:tcPr>
            <w:tcW w:w="1814" w:type="dxa"/>
            <w:tcBorders>
              <w:top w:val="nil"/>
              <w:left w:val="nil"/>
              <w:bottom w:val="single" w:sz="4"/>
              <w:right w:val="nil"/>
            </w:tcBorders>
          </w:tcPr>
          <w:p>
            <w:pPr>
              <w:pStyle w:val="0"/>
            </w:pPr>
            <w:r>
              <w:rPr>
                <w:sz w:val="24"/>
              </w:rPr>
            </w:r>
          </w:p>
        </w:tc>
        <w:tc>
          <w:tcPr>
            <w:tcW w:w="403" w:type="dxa"/>
            <w:tcBorders>
              <w:top w:val="nil"/>
              <w:left w:val="nil"/>
              <w:bottom w:val="nil"/>
              <w:right w:val="nil"/>
            </w:tcBorders>
          </w:tcPr>
          <w:p>
            <w:pPr>
              <w:pStyle w:val="0"/>
            </w:pPr>
            <w:r>
              <w:rPr>
                <w:sz w:val="24"/>
              </w:rPr>
            </w:r>
          </w:p>
        </w:tc>
        <w:tc>
          <w:tcPr>
            <w:tcW w:w="3798" w:type="dxa"/>
            <w:tcBorders>
              <w:top w:val="nil"/>
              <w:left w:val="nil"/>
              <w:bottom w:val="single" w:sz="4"/>
              <w:right w:val="nil"/>
            </w:tcBorders>
          </w:tcPr>
          <w:p>
            <w:pPr>
              <w:pStyle w:val="0"/>
            </w:pPr>
            <w:r>
              <w:rPr>
                <w:sz w:val="24"/>
              </w:rPr>
            </w:r>
          </w:p>
        </w:tc>
      </w:tr>
      <w:tr>
        <w:tc>
          <w:tcPr>
            <w:tcW w:w="2702"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814" w:type="dxa"/>
            <w:tcBorders>
              <w:top w:val="single" w:sz="4"/>
              <w:left w:val="nil"/>
              <w:bottom w:val="nil"/>
              <w:right w:val="nil"/>
            </w:tcBorders>
          </w:tcPr>
          <w:p>
            <w:pPr>
              <w:pStyle w:val="0"/>
              <w:jc w:val="center"/>
            </w:pPr>
            <w:r>
              <w:rPr>
                <w:sz w:val="24"/>
              </w:rPr>
              <w:t xml:space="preserve">(подпись)</w:t>
            </w:r>
          </w:p>
        </w:tc>
        <w:tc>
          <w:tcPr>
            <w:tcW w:w="403" w:type="dxa"/>
            <w:tcBorders>
              <w:top w:val="nil"/>
              <w:left w:val="nil"/>
              <w:bottom w:val="nil"/>
              <w:right w:val="nil"/>
            </w:tcBorders>
          </w:tcPr>
          <w:p>
            <w:pPr>
              <w:pStyle w:val="0"/>
            </w:pPr>
            <w:r>
              <w:rPr>
                <w:sz w:val="24"/>
              </w:rPr>
            </w:r>
          </w:p>
        </w:tc>
        <w:tc>
          <w:tcPr>
            <w:tcW w:w="3798" w:type="dxa"/>
            <w:tcBorders>
              <w:top w:val="single" w:sz="4"/>
              <w:left w:val="nil"/>
              <w:bottom w:val="nil"/>
              <w:right w:val="nil"/>
            </w:tcBorders>
          </w:tcPr>
          <w:p>
            <w:pPr>
              <w:pStyle w:val="0"/>
              <w:jc w:val="center"/>
            </w:pPr>
            <w:r>
              <w:rPr>
                <w:sz w:val="24"/>
              </w:rPr>
              <w:t xml:space="preserve">(фамилия, имя, отчество</w:t>
            </w:r>
          </w:p>
          <w:p>
            <w:pPr>
              <w:pStyle w:val="0"/>
              <w:jc w:val="center"/>
            </w:pPr>
            <w:r>
              <w:rPr>
                <w:sz w:val="24"/>
              </w:rPr>
              <w:t xml:space="preserve">(при наличии)</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w:t>
      </w:r>
    </w:p>
    <w:p>
      <w:pPr>
        <w:pStyle w:val="0"/>
        <w:jc w:val="right"/>
      </w:pPr>
      <w:r>
        <w:rPr>
          <w:sz w:val="24"/>
        </w:rPr>
        <w:t xml:space="preserve">к Порядку оплаты проезда лиц,</w:t>
      </w:r>
    </w:p>
    <w:p>
      <w:pPr>
        <w:pStyle w:val="0"/>
        <w:jc w:val="right"/>
      </w:pPr>
      <w:r>
        <w:rPr>
          <w:sz w:val="24"/>
        </w:rPr>
        <w:t xml:space="preserve">указанных в пункте 1 Правил</w:t>
      </w:r>
    </w:p>
    <w:p>
      <w:pPr>
        <w:pStyle w:val="0"/>
        <w:jc w:val="right"/>
      </w:pPr>
      <w:r>
        <w:rPr>
          <w:sz w:val="24"/>
        </w:rPr>
        <w:t xml:space="preserve">предоставления и оплаты услуг</w:t>
      </w:r>
    </w:p>
    <w:p>
      <w:pPr>
        <w:pStyle w:val="0"/>
        <w:jc w:val="right"/>
      </w:pPr>
      <w:r>
        <w:rPr>
          <w:sz w:val="24"/>
        </w:rPr>
        <w:t xml:space="preserve">по санаторно-курортному лечению,</w:t>
      </w:r>
    </w:p>
    <w:p>
      <w:pPr>
        <w:pStyle w:val="0"/>
        <w:jc w:val="right"/>
      </w:pPr>
      <w:r>
        <w:rPr>
          <w:sz w:val="24"/>
        </w:rPr>
        <w:t xml:space="preserve">медицинской реабилитации лиц,</w:t>
      </w:r>
    </w:p>
    <w:p>
      <w:pPr>
        <w:pStyle w:val="0"/>
        <w:jc w:val="right"/>
      </w:pPr>
      <w:r>
        <w:rPr>
          <w:sz w:val="24"/>
        </w:rPr>
        <w:t xml:space="preserve">указанных в части 10 статьи 7</w:t>
      </w:r>
    </w:p>
    <w:p>
      <w:pPr>
        <w:pStyle w:val="0"/>
        <w:jc w:val="right"/>
      </w:pPr>
      <w:r>
        <w:rPr>
          <w:sz w:val="24"/>
        </w:rPr>
        <w:t xml:space="preserve">Федерального закона "О бюджете Фонда</w:t>
      </w:r>
    </w:p>
    <w:p>
      <w:pPr>
        <w:pStyle w:val="0"/>
        <w:jc w:val="right"/>
      </w:pPr>
      <w:r>
        <w:rPr>
          <w:sz w:val="24"/>
        </w:rPr>
        <w:t xml:space="preserve">пенсионного и социального страхования</w:t>
      </w:r>
    </w:p>
    <w:p>
      <w:pPr>
        <w:pStyle w:val="0"/>
        <w:jc w:val="right"/>
      </w:pPr>
      <w:r>
        <w:rPr>
          <w:sz w:val="24"/>
        </w:rPr>
        <w:t xml:space="preserve">Российской Федерации на 2025 год</w:t>
      </w:r>
    </w:p>
    <w:p>
      <w:pPr>
        <w:pStyle w:val="0"/>
        <w:jc w:val="right"/>
      </w:pPr>
      <w:r>
        <w:rPr>
          <w:sz w:val="24"/>
        </w:rPr>
        <w:t xml:space="preserve">и на плановый период 2026 и 2027 годов",</w:t>
      </w:r>
    </w:p>
    <w:p>
      <w:pPr>
        <w:pStyle w:val="0"/>
        <w:jc w:val="right"/>
      </w:pPr>
      <w:r>
        <w:rPr>
          <w:sz w:val="24"/>
        </w:rPr>
        <w:t xml:space="preserve">в центрах реабилитации Фонда</w:t>
      </w:r>
    </w:p>
    <w:p>
      <w:pPr>
        <w:pStyle w:val="0"/>
        <w:jc w:val="right"/>
      </w:pPr>
      <w:r>
        <w:rPr>
          <w:sz w:val="24"/>
        </w:rPr>
        <w:t xml:space="preserve">пенсионного и социального страхования</w:t>
      </w:r>
    </w:p>
    <w:p>
      <w:pPr>
        <w:pStyle w:val="0"/>
        <w:jc w:val="right"/>
      </w:pPr>
      <w:r>
        <w:rPr>
          <w:sz w:val="24"/>
        </w:rPr>
        <w:t xml:space="preserve">Российской Федерации, утвержденных</w:t>
      </w:r>
    </w:p>
    <w:p>
      <w:pPr>
        <w:pStyle w:val="0"/>
        <w:jc w:val="right"/>
      </w:pPr>
      <w:r>
        <w:rPr>
          <w:sz w:val="24"/>
        </w:rPr>
        <w:t xml:space="preserve">постановлением Правительства Российской</w:t>
      </w:r>
    </w:p>
    <w:p>
      <w:pPr>
        <w:pStyle w:val="0"/>
        <w:jc w:val="right"/>
      </w:pPr>
      <w:r>
        <w:rPr>
          <w:sz w:val="24"/>
        </w:rPr>
        <w:t xml:space="preserve">Федерации от 28 декабря 2024 г. N 1960,</w:t>
      </w:r>
    </w:p>
    <w:p>
      <w:pPr>
        <w:pStyle w:val="0"/>
        <w:jc w:val="right"/>
      </w:pPr>
      <w:r>
        <w:rPr>
          <w:sz w:val="24"/>
        </w:rPr>
        <w:t xml:space="preserve">к месту прохождения санаторно-курортного</w:t>
      </w:r>
    </w:p>
    <w:p>
      <w:pPr>
        <w:pStyle w:val="0"/>
        <w:jc w:val="right"/>
      </w:pPr>
      <w:r>
        <w:rPr>
          <w:sz w:val="24"/>
        </w:rPr>
        <w:t xml:space="preserve">лечения, медицинской реабилитации</w:t>
      </w:r>
    </w:p>
    <w:p>
      <w:pPr>
        <w:pStyle w:val="0"/>
        <w:jc w:val="right"/>
      </w:pPr>
      <w:r>
        <w:rPr>
          <w:sz w:val="24"/>
        </w:rPr>
        <w:t xml:space="preserve">в центрах реабилитации Фонда пенсионного</w:t>
      </w:r>
    </w:p>
    <w:p>
      <w:pPr>
        <w:pStyle w:val="0"/>
        <w:jc w:val="right"/>
      </w:pPr>
      <w:r>
        <w:rPr>
          <w:sz w:val="24"/>
        </w:rPr>
        <w:t xml:space="preserve">и социального страхования</w:t>
      </w:r>
    </w:p>
    <w:p>
      <w:pPr>
        <w:pStyle w:val="0"/>
        <w:jc w:val="right"/>
      </w:pPr>
      <w:r>
        <w:rPr>
          <w:sz w:val="24"/>
        </w:rPr>
        <w:t xml:space="preserve">Российской Федерации и обратно</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tbl>
      <w:tblPr>
        <w:tblInd w:w="0" w:type="dxa"/>
        <w:tblLayout w:type="fixed"/>
        <w:tblCellMar>
          <w:top w:w="102" w:type="dxa"/>
          <w:left w:w="62" w:type="dxa"/>
          <w:bottom w:w="102" w:type="dxa"/>
          <w:right w:w="62" w:type="dxa"/>
        </w:tblCellMar>
      </w:tblPr>
      <w:tblGrid>
        <w:gridCol w:w="9014"/>
      </w:tblGrid>
      <w:tr>
        <w:tc>
          <w:tcPr>
            <w:tcW w:w="9014" w:type="dxa"/>
            <w:tcBorders>
              <w:top w:val="nil"/>
              <w:left w:val="nil"/>
              <w:bottom w:val="nil"/>
              <w:right w:val="nil"/>
            </w:tcBorders>
          </w:tcPr>
          <w:p>
            <w:pPr>
              <w:pStyle w:val="0"/>
              <w:jc w:val="center"/>
            </w:pPr>
            <w:r>
              <w:rPr>
                <w:sz w:val="24"/>
              </w:rPr>
              <w:t xml:space="preserve">ФОНД ПЕНСИОННОГО И СОЦИАЛЬНОГО СТРАХОВАНИЯ РОССИЙСКОЙ ФЕДЕРАЦИИ</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14"/>
      </w:tblGrid>
      <w:tr>
        <w:tc>
          <w:tcPr>
            <w:tcW w:w="9014" w:type="dxa"/>
            <w:tcBorders>
              <w:top w:val="nil"/>
              <w:left w:val="nil"/>
              <w:bottom w:val="nil"/>
              <w:right w:val="nil"/>
            </w:tcBorders>
          </w:tcPr>
          <w:p>
            <w:pPr>
              <w:pStyle w:val="0"/>
              <w:jc w:val="center"/>
            </w:pPr>
            <w:r>
              <w:rPr>
                <w:sz w:val="24"/>
              </w:rPr>
              <w:t xml:space="preserve">ОТДЕЛЕНИЕ ФОНДА ПЕНСИОННОГО И СОЦИАЛЬНОГО СТРАХОВАНИЯ РОССИЙСКОЙ ФЕДЕРАЦИИ ПО ______________________________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14"/>
      </w:tblGrid>
      <w:tr>
        <w:tc>
          <w:tcPr>
            <w:tcW w:w="9014" w:type="dxa"/>
            <w:tcBorders>
              <w:top w:val="nil"/>
              <w:left w:val="nil"/>
              <w:bottom w:val="nil"/>
              <w:right w:val="nil"/>
            </w:tcBorders>
          </w:tcPr>
          <w:bookmarkStart w:id="217" w:name="P217"/>
          <w:bookmarkEnd w:id="217"/>
          <w:p>
            <w:pPr>
              <w:pStyle w:val="0"/>
              <w:jc w:val="center"/>
            </w:pPr>
            <w:r>
              <w:rPr>
                <w:sz w:val="24"/>
              </w:rPr>
              <w:t xml:space="preserve">РЕШЕНИЕ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808"/>
        <w:gridCol w:w="826"/>
        <w:gridCol w:w="2928"/>
        <w:gridCol w:w="374"/>
        <w:gridCol w:w="494"/>
        <w:gridCol w:w="1604"/>
      </w:tblGrid>
      <w:tr>
        <w:tc>
          <w:tcPr>
            <w:tcW w:w="2808" w:type="dxa"/>
            <w:vAlign w:val="bottom"/>
            <w:tcBorders>
              <w:top w:val="nil"/>
              <w:left w:val="nil"/>
              <w:bottom w:val="single" w:sz="4"/>
              <w:right w:val="nil"/>
            </w:tcBorders>
          </w:tcPr>
          <w:p>
            <w:pPr>
              <w:pStyle w:val="0"/>
            </w:pPr>
            <w:r>
              <w:rPr>
                <w:sz w:val="24"/>
              </w:rPr>
            </w:r>
          </w:p>
        </w:tc>
        <w:tc>
          <w:tcPr>
            <w:tcW w:w="826" w:type="dxa"/>
            <w:tcBorders>
              <w:top w:val="nil"/>
              <w:left w:val="nil"/>
              <w:bottom w:val="nil"/>
              <w:right w:val="nil"/>
            </w:tcBorders>
          </w:tcPr>
          <w:p>
            <w:pPr>
              <w:pStyle w:val="0"/>
            </w:pPr>
            <w:r>
              <w:rPr>
                <w:sz w:val="24"/>
              </w:rPr>
            </w:r>
          </w:p>
        </w:tc>
        <w:tc>
          <w:tcPr>
            <w:tcW w:w="2928" w:type="dxa"/>
            <w:vAlign w:val="center"/>
            <w:tcBorders>
              <w:top w:val="nil"/>
              <w:left w:val="nil"/>
              <w:bottom w:val="nil"/>
              <w:right w:val="nil"/>
            </w:tcBorders>
          </w:tcPr>
          <w:p>
            <w:pPr>
              <w:pStyle w:val="0"/>
            </w:pPr>
            <w:r>
              <w:rPr>
                <w:sz w:val="24"/>
              </w:rPr>
            </w:r>
          </w:p>
        </w:tc>
        <w:tc>
          <w:tcPr>
            <w:tcW w:w="374" w:type="dxa"/>
            <w:tcBorders>
              <w:top w:val="nil"/>
              <w:left w:val="nil"/>
              <w:bottom w:val="nil"/>
              <w:right w:val="nil"/>
            </w:tcBorders>
          </w:tcPr>
          <w:p>
            <w:pPr>
              <w:pStyle w:val="0"/>
            </w:pPr>
            <w:r>
              <w:rPr>
                <w:sz w:val="24"/>
              </w:rPr>
            </w:r>
          </w:p>
        </w:tc>
        <w:tc>
          <w:tcPr>
            <w:tcW w:w="494" w:type="dxa"/>
            <w:vAlign w:val="bottom"/>
            <w:tcBorders>
              <w:top w:val="nil"/>
              <w:left w:val="nil"/>
              <w:bottom w:val="nil"/>
              <w:right w:val="nil"/>
            </w:tcBorders>
          </w:tcPr>
          <w:p>
            <w:pPr>
              <w:pStyle w:val="0"/>
            </w:pPr>
            <w:r>
              <w:rPr>
                <w:sz w:val="24"/>
              </w:rPr>
              <w:t xml:space="preserve">N</w:t>
            </w:r>
          </w:p>
        </w:tc>
        <w:tc>
          <w:tcPr>
            <w:tcW w:w="1604" w:type="dxa"/>
            <w:tcBorders>
              <w:top w:val="nil"/>
              <w:left w:val="nil"/>
              <w:bottom w:val="single" w:sz="4"/>
              <w:right w:val="nil"/>
            </w:tcBorders>
          </w:tcPr>
          <w:p>
            <w:pPr>
              <w:pStyle w:val="0"/>
            </w:pPr>
            <w:r>
              <w:rPr>
                <w:sz w:val="24"/>
              </w:rPr>
            </w:r>
          </w:p>
        </w:tc>
      </w:tr>
      <w:tr>
        <w:tc>
          <w:tcPr>
            <w:tcW w:w="2808" w:type="dxa"/>
            <w:tcBorders>
              <w:top w:val="single" w:sz="4"/>
              <w:left w:val="nil"/>
              <w:bottom w:val="nil"/>
              <w:right w:val="nil"/>
            </w:tcBorders>
          </w:tcPr>
          <w:p>
            <w:pPr>
              <w:pStyle w:val="0"/>
              <w:jc w:val="center"/>
            </w:pPr>
            <w:r>
              <w:rPr>
                <w:sz w:val="24"/>
              </w:rPr>
              <w:t xml:space="preserve">(дата)</w:t>
            </w:r>
          </w:p>
        </w:tc>
        <w:tc>
          <w:tcPr>
            <w:tcW w:w="826" w:type="dxa"/>
            <w:tcBorders>
              <w:top w:val="nil"/>
              <w:left w:val="nil"/>
              <w:bottom w:val="nil"/>
              <w:right w:val="nil"/>
            </w:tcBorders>
          </w:tcPr>
          <w:p>
            <w:pPr>
              <w:pStyle w:val="0"/>
            </w:pPr>
            <w:r>
              <w:rPr>
                <w:sz w:val="24"/>
              </w:rPr>
            </w:r>
          </w:p>
        </w:tc>
        <w:tc>
          <w:tcPr>
            <w:tcW w:w="2928" w:type="dxa"/>
            <w:tcBorders>
              <w:top w:val="nil"/>
              <w:left w:val="nil"/>
              <w:bottom w:val="nil"/>
              <w:right w:val="nil"/>
            </w:tcBorders>
          </w:tcPr>
          <w:p>
            <w:pPr>
              <w:pStyle w:val="0"/>
            </w:pPr>
            <w:r>
              <w:rPr>
                <w:sz w:val="24"/>
              </w:rPr>
            </w:r>
          </w:p>
        </w:tc>
        <w:tc>
          <w:tcPr>
            <w:tcW w:w="374" w:type="dxa"/>
            <w:tcBorders>
              <w:top w:val="nil"/>
              <w:left w:val="nil"/>
              <w:bottom w:val="nil"/>
              <w:right w:val="nil"/>
            </w:tcBorders>
          </w:tcPr>
          <w:p>
            <w:pPr>
              <w:pStyle w:val="0"/>
            </w:pPr>
            <w:r>
              <w:rPr>
                <w:sz w:val="24"/>
              </w:rPr>
            </w:r>
          </w:p>
        </w:tc>
        <w:tc>
          <w:tcPr>
            <w:tcW w:w="494" w:type="dxa"/>
            <w:tcBorders>
              <w:top w:val="nil"/>
              <w:left w:val="nil"/>
              <w:bottom w:val="nil"/>
              <w:right w:val="nil"/>
            </w:tcBorders>
          </w:tcPr>
          <w:p>
            <w:pPr>
              <w:pStyle w:val="0"/>
            </w:pPr>
            <w:r>
              <w:rPr>
                <w:sz w:val="24"/>
              </w:rPr>
            </w:r>
          </w:p>
        </w:tc>
        <w:tc>
          <w:tcPr>
            <w:tcW w:w="1604" w:type="dxa"/>
            <w:tcBorders>
              <w:top w:val="single" w:sz="4"/>
              <w:left w:val="nil"/>
              <w:bottom w:val="nil"/>
              <w:right w:val="nil"/>
            </w:tcBorders>
          </w:tcPr>
          <w:p>
            <w:pPr>
              <w:pStyle w:val="0"/>
            </w:pPr>
            <w:r>
              <w:rPr>
                <w:sz w:val="24"/>
              </w:rPr>
            </w:r>
          </w:p>
        </w:tc>
      </w:tr>
    </w:tbl>
    <w:p>
      <w:pPr>
        <w:pStyle w:val="0"/>
        <w:jc w:val="both"/>
      </w:pPr>
      <w:r>
        <w:rPr>
          <w:sz w:val="24"/>
        </w:rPr>
      </w:r>
    </w:p>
    <w:p>
      <w:pPr>
        <w:pStyle w:val="1"/>
        <w:jc w:val="both"/>
      </w:pPr>
      <w:r>
        <w:rPr>
          <w:sz w:val="20"/>
        </w:rPr>
        <w:t xml:space="preserve">                                 Об отказе</w:t>
      </w:r>
    </w:p>
    <w:p>
      <w:pPr>
        <w:pStyle w:val="1"/>
        <w:jc w:val="both"/>
      </w:pPr>
      <w:r>
        <w:rPr>
          <w:sz w:val="20"/>
        </w:rPr>
        <w:t xml:space="preserve">              в осуществлении компенсации расходов на проезд</w:t>
      </w:r>
    </w:p>
    <w:p>
      <w:pPr>
        <w:pStyle w:val="1"/>
        <w:jc w:val="both"/>
      </w:pPr>
      <w:r>
        <w:rPr>
          <w:sz w:val="20"/>
        </w:rPr>
        <w:t xml:space="preserve">             к месту санаторно-курортного лечения, медицинской</w:t>
      </w:r>
    </w:p>
    <w:p>
      <w:pPr>
        <w:pStyle w:val="1"/>
        <w:jc w:val="both"/>
      </w:pPr>
      <w:r>
        <w:rPr>
          <w:sz w:val="20"/>
        </w:rPr>
        <w:t xml:space="preserve">           реабилитации в центре реабилитации Фонда пенсионного</w:t>
      </w:r>
    </w:p>
    <w:p>
      <w:pPr>
        <w:pStyle w:val="1"/>
        <w:jc w:val="both"/>
      </w:pPr>
      <w:r>
        <w:rPr>
          <w:sz w:val="20"/>
        </w:rPr>
        <w:t xml:space="preserve">         и социального страхования Российской Федерации и обратно</w:t>
      </w:r>
    </w:p>
    <w:p>
      <w:pPr>
        <w:pStyle w:val="1"/>
        <w:jc w:val="both"/>
      </w:pPr>
      <w:r>
        <w:rPr>
          <w:sz w:val="20"/>
        </w:rPr>
      </w:r>
    </w:p>
    <w:p>
      <w:pPr>
        <w:pStyle w:val="1"/>
        <w:jc w:val="both"/>
      </w:pPr>
      <w:r>
        <w:rPr>
          <w:sz w:val="20"/>
        </w:rPr>
        <w:t xml:space="preserve">Получатель ________________________________________________________________</w:t>
      </w:r>
    </w:p>
    <w:p>
      <w:pPr>
        <w:pStyle w:val="1"/>
        <w:jc w:val="both"/>
      </w:pPr>
      <w:r>
        <w:rPr>
          <w:sz w:val="20"/>
        </w:rPr>
        <w:t xml:space="preserve">                       (фамилия, имя, отчество (при наличии)</w:t>
      </w:r>
    </w:p>
    <w:p>
      <w:pPr>
        <w:pStyle w:val="1"/>
        <w:jc w:val="both"/>
      </w:pPr>
      <w:r>
        <w:rPr>
          <w:sz w:val="20"/>
        </w:rPr>
        <w:t xml:space="preserve">Страховой номер индивидуального лицевого счета ____________________________</w:t>
      </w:r>
    </w:p>
    <w:p>
      <w:pPr>
        <w:pStyle w:val="1"/>
        <w:jc w:val="both"/>
      </w:pPr>
      <w:r>
        <w:rPr>
          <w:sz w:val="20"/>
        </w:rPr>
      </w:r>
    </w:p>
    <w:p>
      <w:pPr>
        <w:pStyle w:val="1"/>
        <w:jc w:val="both"/>
      </w:pPr>
      <w:r>
        <w:rPr>
          <w:sz w:val="20"/>
        </w:rPr>
        <w:t xml:space="preserve">    Отделением  Фонда  пенсионного  и  социального  страхования  Российской</w:t>
      </w:r>
    </w:p>
    <w:p>
      <w:pPr>
        <w:pStyle w:val="1"/>
        <w:jc w:val="both"/>
      </w:pPr>
      <w:r>
        <w:rPr>
          <w:sz w:val="20"/>
        </w:rPr>
        <w:t xml:space="preserve">Федерации по ______________________________________________________________</w:t>
      </w:r>
    </w:p>
    <w:p>
      <w:pPr>
        <w:pStyle w:val="1"/>
        <w:jc w:val="both"/>
      </w:pPr>
      <w:r>
        <w:rPr>
          <w:sz w:val="20"/>
        </w:rPr>
        <w:t xml:space="preserve">                (наименование Отделения Фонда пенсионного и социального</w:t>
      </w:r>
    </w:p>
    <w:p>
      <w:pPr>
        <w:pStyle w:val="1"/>
        <w:jc w:val="both"/>
      </w:pPr>
      <w:r>
        <w:rPr>
          <w:sz w:val="20"/>
        </w:rPr>
        <w:t xml:space="preserve">                           страхования Российской Федерации)</w:t>
      </w:r>
    </w:p>
    <w:p>
      <w:pPr>
        <w:pStyle w:val="1"/>
        <w:jc w:val="both"/>
      </w:pPr>
      <w:r>
        <w:rPr>
          <w:sz w:val="20"/>
        </w:rPr>
        <w:t xml:space="preserve">по   Вашему   заявлению   о   компенсации   расходов   на  проезд  к  месту</w:t>
      </w:r>
    </w:p>
    <w:p>
      <w:pPr>
        <w:pStyle w:val="1"/>
        <w:jc w:val="both"/>
      </w:pPr>
      <w:r>
        <w:rPr>
          <w:sz w:val="20"/>
        </w:rPr>
        <w:t xml:space="preserve">санаторно-курортного    лечения,    медицинской   реабилитации   в   центре</w:t>
      </w:r>
    </w:p>
    <w:p>
      <w:pPr>
        <w:pStyle w:val="1"/>
        <w:jc w:val="both"/>
      </w:pPr>
      <w:r>
        <w:rPr>
          <w:sz w:val="20"/>
        </w:rPr>
        <w:t xml:space="preserve">реабилитации   Фонда   пенсионного  и  социального  страхования  Российской</w:t>
      </w:r>
    </w:p>
    <w:p>
      <w:pPr>
        <w:pStyle w:val="1"/>
        <w:jc w:val="both"/>
      </w:pPr>
      <w:r>
        <w:rPr>
          <w:sz w:val="20"/>
        </w:rPr>
        <w:t xml:space="preserve">Федерации и обратно N ___________________________________ от ______________</w:t>
      </w:r>
    </w:p>
    <w:p>
      <w:pPr>
        <w:pStyle w:val="1"/>
        <w:jc w:val="both"/>
      </w:pPr>
      <w:r>
        <w:rPr>
          <w:sz w:val="20"/>
        </w:rPr>
        <w:t xml:space="preserve">                       (регистрационный номер заявления)        (дата)</w:t>
      </w:r>
    </w:p>
    <w:p>
      <w:pPr>
        <w:pStyle w:val="1"/>
        <w:jc w:val="both"/>
      </w:pPr>
      <w:r>
        <w:rPr>
          <w:sz w:val="20"/>
        </w:rPr>
        <w:t xml:space="preserve">принято решение:</w:t>
      </w:r>
    </w:p>
    <w:p>
      <w:pPr>
        <w:pStyle w:val="1"/>
        <w:jc w:val="both"/>
      </w:pPr>
      <w:r>
        <w:rPr>
          <w:sz w:val="20"/>
        </w:rPr>
        <w:t xml:space="preserve">    об  отказе  в  осуществлении  компенсации  расходов  на  проезд к месту</w:t>
      </w:r>
    </w:p>
    <w:p>
      <w:pPr>
        <w:pStyle w:val="1"/>
        <w:jc w:val="both"/>
      </w:pPr>
      <w:r>
        <w:rPr>
          <w:sz w:val="20"/>
        </w:rPr>
        <w:t xml:space="preserve">санаторно-курортного    лечения,    медицинской   реабилитации   в   центре</w:t>
      </w:r>
    </w:p>
    <w:p>
      <w:pPr>
        <w:pStyle w:val="1"/>
        <w:jc w:val="both"/>
      </w:pPr>
      <w:r>
        <w:rPr>
          <w:sz w:val="20"/>
        </w:rPr>
        <w:t xml:space="preserve">реабилитации   Фонда   пенсионного  и  социального  страхования  Российской</w:t>
      </w:r>
    </w:p>
    <w:p>
      <w:pPr>
        <w:pStyle w:val="1"/>
        <w:jc w:val="both"/>
      </w:pPr>
      <w:r>
        <w:rPr>
          <w:sz w:val="20"/>
        </w:rPr>
        <w:t xml:space="preserve">Федерации и обратно на основании:</w:t>
      </w:r>
    </w:p>
    <w:p>
      <w:pPr>
        <w:pStyle w:val="1"/>
        <w:jc w:val="both"/>
      </w:pPr>
      <w:r>
        <w:rPr>
          <w:position w:val="-8"/>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Pr>
          <w:sz w:val="20"/>
        </w:rPr>
        <w:t xml:space="preserve">  к   заявлению  не  приложены  документы,  подтверждающие  произведенные</w:t>
      </w:r>
    </w:p>
    <w:p>
      <w:pPr>
        <w:pStyle w:val="1"/>
        <w:jc w:val="both"/>
      </w:pPr>
      <w:r>
        <w:rPr>
          <w:sz w:val="20"/>
        </w:rPr>
        <w:t xml:space="preserve">расходы на проезд;</w:t>
      </w:r>
    </w:p>
    <w:p>
      <w:pPr>
        <w:pStyle w:val="1"/>
        <w:jc w:val="both"/>
      </w:pPr>
      <w:r>
        <w:rPr>
          <w:position w:val="-8"/>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Pr>
          <w:sz w:val="20"/>
        </w:rPr>
        <w:t xml:space="preserve"> участник  специальной  военной  операции  на  день  подачи заявления  не</w:t>
      </w:r>
    </w:p>
    <w:p>
      <w:pPr>
        <w:pStyle w:val="1"/>
        <w:jc w:val="both"/>
      </w:pPr>
      <w:r>
        <w:rPr>
          <w:sz w:val="20"/>
        </w:rPr>
        <w:t xml:space="preserve">прибыл  в  центр  реабилитации  Фонда пенсионного и социального страхования</w:t>
      </w:r>
    </w:p>
    <w:p>
      <w:pPr>
        <w:pStyle w:val="1"/>
        <w:jc w:val="both"/>
      </w:pPr>
      <w:r>
        <w:rPr>
          <w:sz w:val="20"/>
        </w:rPr>
        <w:t xml:space="preserve">Российской    Федерации   для   получения   санаторно-курортного   лечения,</w:t>
      </w:r>
    </w:p>
    <w:p>
      <w:pPr>
        <w:pStyle w:val="1"/>
        <w:jc w:val="both"/>
      </w:pPr>
      <w:r>
        <w:rPr>
          <w:sz w:val="20"/>
        </w:rPr>
        <w:t xml:space="preserve">медицинской   реабилитации   или   проходит   санаторно-курортное  лечение,</w:t>
      </w:r>
    </w:p>
    <w:p>
      <w:pPr>
        <w:pStyle w:val="1"/>
        <w:jc w:val="both"/>
      </w:pPr>
      <w:r>
        <w:rPr>
          <w:sz w:val="20"/>
        </w:rPr>
        <w:t xml:space="preserve">медицинскую   реабилитацию   в  центре  реабилитации  Фонда  пенсионного  и</w:t>
      </w:r>
    </w:p>
    <w:p>
      <w:pPr>
        <w:pStyle w:val="1"/>
        <w:jc w:val="both"/>
      </w:pPr>
      <w:r>
        <w:rPr>
          <w:sz w:val="20"/>
        </w:rPr>
        <w:t xml:space="preserve">социального  страхования  Российской  Федерации  и  не  осуществил обратную</w:t>
      </w:r>
    </w:p>
    <w:p>
      <w:pPr>
        <w:pStyle w:val="1"/>
        <w:jc w:val="both"/>
      </w:pPr>
      <w:r>
        <w:rPr>
          <w:sz w:val="20"/>
        </w:rPr>
        <w:t xml:space="preserve">поездку  от  места санаторно-курортного лечения, медицинской реабилитации к</w:t>
      </w:r>
    </w:p>
    <w:p>
      <w:pPr>
        <w:pStyle w:val="1"/>
        <w:jc w:val="both"/>
      </w:pPr>
      <w:r>
        <w:rPr>
          <w:sz w:val="20"/>
        </w:rPr>
        <w:t xml:space="preserve">месту жительства.</w:t>
      </w:r>
    </w:p>
    <w:p>
      <w:pPr>
        <w:pStyle w:val="0"/>
        <w:jc w:val="both"/>
      </w:pPr>
      <w:r>
        <w:rPr>
          <w:sz w:val="24"/>
        </w:rPr>
      </w:r>
    </w:p>
    <w:tbl>
      <w:tblPr>
        <w:tblInd w:w="0" w:type="dxa"/>
        <w:tblLayout w:type="fixed"/>
        <w:tblCellMar>
          <w:top w:w="102" w:type="dxa"/>
          <w:left w:w="62" w:type="dxa"/>
          <w:bottom w:w="102" w:type="dxa"/>
          <w:right w:w="62" w:type="dxa"/>
        </w:tblCellMar>
      </w:tblPr>
      <w:tblGrid>
        <w:gridCol w:w="2702"/>
        <w:gridCol w:w="340"/>
        <w:gridCol w:w="1814"/>
        <w:gridCol w:w="403"/>
        <w:gridCol w:w="3798"/>
      </w:tblGrid>
      <w:tr>
        <w:tc>
          <w:tcPr>
            <w:tcW w:w="2702" w:type="dxa"/>
            <w:vAlign w:val="bottom"/>
            <w:tcBorders>
              <w:top w:val="nil"/>
              <w:left w:val="nil"/>
              <w:bottom w:val="nil"/>
              <w:right w:val="nil"/>
            </w:tcBorders>
          </w:tcPr>
          <w:p>
            <w:pPr>
              <w:pStyle w:val="0"/>
            </w:pPr>
            <w:r>
              <w:rPr>
                <w:sz w:val="24"/>
              </w:rPr>
              <w:t xml:space="preserve">Руководитель</w:t>
            </w:r>
          </w:p>
          <w:p>
            <w:pPr>
              <w:pStyle w:val="0"/>
            </w:pPr>
            <w:r>
              <w:rPr>
                <w:sz w:val="24"/>
              </w:rPr>
              <w:t xml:space="preserve">Отделения СФР</w:t>
            </w:r>
          </w:p>
        </w:tc>
        <w:tc>
          <w:tcPr>
            <w:tcW w:w="340" w:type="dxa"/>
            <w:tcBorders>
              <w:top w:val="nil"/>
              <w:left w:val="nil"/>
              <w:bottom w:val="nil"/>
              <w:right w:val="nil"/>
            </w:tcBorders>
          </w:tcPr>
          <w:p>
            <w:pPr>
              <w:pStyle w:val="0"/>
            </w:pPr>
            <w:r>
              <w:rPr>
                <w:sz w:val="24"/>
              </w:rPr>
            </w:r>
          </w:p>
        </w:tc>
        <w:tc>
          <w:tcPr>
            <w:tcW w:w="1814" w:type="dxa"/>
            <w:tcBorders>
              <w:top w:val="nil"/>
              <w:left w:val="nil"/>
              <w:bottom w:val="single" w:sz="4"/>
              <w:right w:val="nil"/>
            </w:tcBorders>
          </w:tcPr>
          <w:p>
            <w:pPr>
              <w:pStyle w:val="0"/>
            </w:pPr>
            <w:r>
              <w:rPr>
                <w:sz w:val="24"/>
              </w:rPr>
            </w:r>
          </w:p>
        </w:tc>
        <w:tc>
          <w:tcPr>
            <w:tcW w:w="403" w:type="dxa"/>
            <w:tcBorders>
              <w:top w:val="nil"/>
              <w:left w:val="nil"/>
              <w:bottom w:val="nil"/>
              <w:right w:val="nil"/>
            </w:tcBorders>
          </w:tcPr>
          <w:p>
            <w:pPr>
              <w:pStyle w:val="0"/>
            </w:pPr>
            <w:r>
              <w:rPr>
                <w:sz w:val="24"/>
              </w:rPr>
            </w:r>
          </w:p>
        </w:tc>
        <w:tc>
          <w:tcPr>
            <w:tcW w:w="3798" w:type="dxa"/>
            <w:tcBorders>
              <w:top w:val="nil"/>
              <w:left w:val="nil"/>
              <w:bottom w:val="single" w:sz="4"/>
              <w:right w:val="nil"/>
            </w:tcBorders>
          </w:tcPr>
          <w:p>
            <w:pPr>
              <w:pStyle w:val="0"/>
            </w:pPr>
            <w:r>
              <w:rPr>
                <w:sz w:val="24"/>
              </w:rPr>
            </w:r>
          </w:p>
        </w:tc>
      </w:tr>
      <w:tr>
        <w:tc>
          <w:tcPr>
            <w:tcW w:w="2702"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814" w:type="dxa"/>
            <w:tcBorders>
              <w:top w:val="single" w:sz="4"/>
              <w:left w:val="nil"/>
              <w:bottom w:val="nil"/>
              <w:right w:val="nil"/>
            </w:tcBorders>
          </w:tcPr>
          <w:p>
            <w:pPr>
              <w:pStyle w:val="0"/>
              <w:jc w:val="center"/>
            </w:pPr>
            <w:r>
              <w:rPr>
                <w:sz w:val="24"/>
              </w:rPr>
              <w:t xml:space="preserve">(подпись)</w:t>
            </w:r>
          </w:p>
        </w:tc>
        <w:tc>
          <w:tcPr>
            <w:tcW w:w="403" w:type="dxa"/>
            <w:tcBorders>
              <w:top w:val="nil"/>
              <w:left w:val="nil"/>
              <w:bottom w:val="nil"/>
              <w:right w:val="nil"/>
            </w:tcBorders>
          </w:tcPr>
          <w:p>
            <w:pPr>
              <w:pStyle w:val="0"/>
            </w:pPr>
            <w:r>
              <w:rPr>
                <w:sz w:val="24"/>
              </w:rPr>
            </w:r>
          </w:p>
        </w:tc>
        <w:tc>
          <w:tcPr>
            <w:tcW w:w="3798" w:type="dxa"/>
            <w:tcBorders>
              <w:top w:val="single" w:sz="4"/>
              <w:left w:val="nil"/>
              <w:bottom w:val="nil"/>
              <w:right w:val="nil"/>
            </w:tcBorders>
          </w:tcPr>
          <w:p>
            <w:pPr>
              <w:pStyle w:val="0"/>
              <w:jc w:val="center"/>
            </w:pPr>
            <w:r>
              <w:rPr>
                <w:sz w:val="24"/>
              </w:rPr>
              <w:t xml:space="preserve">(фамилия, имя, отчество</w:t>
            </w:r>
          </w:p>
          <w:p>
            <w:pPr>
              <w:pStyle w:val="0"/>
              <w:jc w:val="center"/>
            </w:pPr>
            <w:r>
              <w:rPr>
                <w:sz w:val="24"/>
              </w:rPr>
              <w:t xml:space="preserve">(при наличии)</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СФР от 24.02.2025 N 206</w:t>
            <w:br/>
            <w:t>"Об утверждении Порядка оплаты проезда лиц, указанных в пункте 1 Правил предоставления и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31.03.2025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5324&amp;date=31.03.2025&amp;dst=100065&amp;field=134&amp;demo=2" TargetMode = "External"/>
	<Relationship Id="rId8" Type="http://schemas.openxmlformats.org/officeDocument/2006/relationships/hyperlink" Target="https://login.consultant.ru/link/?req=doc&amp;base=LAW&amp;n=495324&amp;date=31.03.2025&amp;dst=100013&amp;field=134&amp;demo=2" TargetMode = "External"/>
	<Relationship Id="rId9" Type="http://schemas.openxmlformats.org/officeDocument/2006/relationships/hyperlink" Target="https://login.consultant.ru/link/?req=doc&amp;base=LAW&amp;n=495324&amp;date=31.03.2025&amp;dst=100055&amp;field=134&amp;demo=2" TargetMode = "External"/>
	<Relationship Id="rId10" Type="http://schemas.openxmlformats.org/officeDocument/2006/relationships/hyperlink" Target="https://login.consultant.ru/link/?req=doc&amp;base=LAW&amp;n=495324&amp;date=31.03.2025&amp;dst=100061&amp;field=134&amp;demo=2" TargetMode = "External"/>
	<Relationship Id="rId11" Type="http://schemas.openxmlformats.org/officeDocument/2006/relationships/hyperlink" Target="https://login.consultant.ru/link/?req=doc&amp;base=LAW&amp;n=495324&amp;date=31.03.2025&amp;dst=100094&amp;field=134&amp;demo=2" TargetMode = "External"/>
	<Relationship Id="rId12" Type="http://schemas.openxmlformats.org/officeDocument/2006/relationships/hyperlink" Target="https://login.consultant.ru/link/?req=doc&amp;base=LAW&amp;n=495324&amp;date=31.03.2025&amp;dst=100062&amp;field=134&amp;demo=2" TargetMode = "External"/>
	<Relationship Id="rId13" Type="http://schemas.openxmlformats.org/officeDocument/2006/relationships/image" Target="media/image2.wmf"/>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СФР от 24.02.2025 N 206
"Об утверждении Порядка оплаты проезда лиц, указанных в пункте 1 Правил предоставления и оплаты услуг по санаторно-курортному лечению, медицинской реабилитации лиц, указанных в части 10 статьи 7 Федерального закона "О бюджете Фонда пенсионного и социального страхования Российской Федерации на 2025 год и на плановый период 2026 и 2027 годов", в центрах реабилитации Фонда пенсионного и социального страхования Российской Федерации, утвержденных постановлением Правительства Россий</dc:title>
  <dcterms:created xsi:type="dcterms:W3CDTF">2025-03-31T15:49:14Z</dcterms:created>
</cp:coreProperties>
</file>