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марта 2025 г. N 8713-ОГ/00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06.05.2011 N 354 утверждены </w:t>
      </w:r>
      <w:hyperlink w:history="0" r:id="rId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 (далее - Правила N 354), регламентирующие в том числе порядок расчета размера платы за коммунальную услугу по отоплению.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платы за коммунальную услугу по отоплению в i-м жилом или нежилом помещении в многоквартирном доме (далее - МКД), который оборудован коллективным (общедомовым) прибором учета (далее - ОДПУ) тепловой энергии и в котором хотя бы одно, но не все жилые или нежилые помещения оборудованы индивидуальными приборами учета (далее - ИПУ) тепловой энергии, размер платы за коммунальную услугу по отоплению определяется по </w:t>
      </w:r>
      <w:hyperlink w:history="0" r:id="rId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приложения N 2 к Правилам N 354 на основании показаний ИПУ и ОДПУ тепловой энергии: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41"/>
        </w:rPr>
        <w:drawing>
          <wp:inline distT="0" distB="0" distL="0" distR="0">
            <wp:extent cx="2457450" cy="67437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общая площадь i-го помещения (жилого или нежилого)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perscript"/>
        </w:rPr>
        <w:t xml:space="preserve">Д</w:t>
      </w:r>
      <w:r>
        <w:rPr>
          <w:sz w:val="24"/>
        </w:rPr>
        <w:t xml:space="preserve"> - объем (количество) потребленной за расчетный период в МКД тепловой энергии, определенный по показаниям ОДПУ;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- общая площадь всех жилых и нежилых помещений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</w:t>
      </w:r>
      <w:r>
        <w:rPr>
          <w:sz w:val="24"/>
          <w:vertAlign w:val="superscript"/>
        </w:rPr>
        <w:t xml:space="preserve">Т</w:t>
      </w:r>
      <w:r>
        <w:rPr>
          <w:sz w:val="24"/>
        </w:rPr>
        <w:t xml:space="preserve"> - тариф (цена) на тепловую энергию, установленный (определенная)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объем (количество) потребленной за расчетный период тепловой энергии, приходящийся на i-е помещение (жилое или нежилое) в МКД и определенный в i-м помещении (жилом или нежилом), оборудованном ИПУ, на основании показаний ИПУ, а в i-м помещении (жилом или нежилом) в МКД, не оборудованном ИПУ, - исходя из площади такого помещения по </w:t>
      </w:r>
      <w:hyperlink w:history="0" r:id="rId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33"/>
        </w:rPr>
        <w:drawing>
          <wp:inline distT="0" distB="0" distL="0" distR="0">
            <wp:extent cx="1314450" cy="5829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величина, идентичная величине, применяемой в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position w:val="-12"/>
        </w:rPr>
        <w:drawing>
          <wp:inline distT="0" distB="0" distL="0" distR="0">
            <wp:extent cx="64008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объемов (количества) тепловой энергии, определенных по показаниям ИПУ;</w:t>
      </w:r>
    </w:p>
    <w:p>
      <w:pPr>
        <w:pStyle w:val="0"/>
        <w:spacing w:before="240" w:line-rule="auto"/>
        <w:ind w:firstLine="540"/>
        <w:jc w:val="both"/>
      </w:pPr>
      <w:r>
        <w:rPr>
          <w:position w:val="-12"/>
        </w:rPr>
        <w:drawing>
          <wp:inline distT="0" distB="0" distL="0" distR="0">
            <wp:extent cx="64008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- сумма площадей i-х помещений (жилых или нежилых) в МКД, оборудованных ИПУ, с применением показаний которых осуществляется расчет 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Vi равен нулю в случае, если технической документацией на МКД не предусмотрено наличие в соответствующем жилом или нежилом помещении приборов отопления, или в случае, если переустройство указанного жилого или нежилого помещения, предусматривающее установку индивидуальных источников тепловой энергии, осуществлено в соответствии с требованиями к переустройству, установленными действующим на момент проведения такого переустройства законодательством Российской Федерации (далее - помещения без централизованного отопления).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Логика </w:t>
      </w:r>
      <w:hyperlink w:history="0" r:id="rId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 3(1)</w:t>
        </w:r>
      </w:hyperlink>
      <w:r>
        <w:rPr>
          <w:sz w:val="24"/>
        </w:rPr>
        <w:t xml:space="preserve"> и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3(7)</w:t>
        </w:r>
      </w:hyperlink>
      <w:r>
        <w:rPr>
          <w:sz w:val="24"/>
        </w:rPr>
        <w:t xml:space="preserve"> заключается в следующем.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Объем подлежащей оплате собственником i-того помещения в МКД теплоэнергии в целях предоставления коммунальной услуги по отоплению определяется как сумма теплоэнергии, потребленной непосредственно в i-том помещении (V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), и доли в объеме теплоэнергии, потребленной на отопление помещений общего пользования.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в объеме теплоэнергии, потребленной на отопление помещений общего пользования, для собственника i-того помещения определяется в том же порядке, что и при применении </w:t>
      </w:r>
      <w:hyperlink w:history="0" r:id="rId1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3</w:t>
        </w:r>
      </w:hyperlink>
      <w:r>
        <w:rPr>
          <w:sz w:val="24"/>
        </w:rPr>
        <w:t xml:space="preserve"> для случая, когда МКД оборудован ОДПУ теплоэнергии и ни одно помещение в МКД не оборудовано ИПУ теплоэнергии.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определяется по показаниям ИПУ для помещений, оборудованных ИПУ;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приравнивается нулю для помещений без централизованного отопления;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определяется по </w:t>
      </w:r>
      <w:hyperlink w:history="0" r:id="rId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 для помещений, потребляющих теплоэнергию из внутридомовой системы отопления и не оборудованных ИПУ.</w:t>
      </w:r>
    </w:p>
    <w:p>
      <w:pPr>
        <w:pStyle w:val="0"/>
        <w:spacing w:before="240" w:line-rule="auto"/>
        <w:ind w:firstLine="540"/>
        <w:jc w:val="both"/>
      </w:pPr>
      <w:hyperlink w:history="0" r:id="rId1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3(7)</w:t>
        </w:r>
      </w:hyperlink>
      <w:r>
        <w:rPr>
          <w:sz w:val="24"/>
        </w:rPr>
        <w:t xml:space="preserve"> устанавливает, что если в i-том помещении (жилом или нежилом) в МКД нет ИПУ, тогда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определяется исходя из площади такого помещения (S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) и удельного среднего расхода теплоэнергии на квадратный метр помещений, оборудованных ИПУ.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приведенного обстоятельства следует, что в случае наличия ИПУ только в одном помещении в МКД, удельный расход теплоэнергии на квадратный метр такого помещения будет применен в расчетах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для других помещений в таком МКД, не оборудованных ИПУ.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указанном случае при отсутствии в МКД помещений без централизованного отопления, объем теплоэнергии, потребленной в целях отопления, будет распределяться среди собственников помещений (жилых и нежилых) в МКД пропорционально площади таких помещений, и тогда результаты расчетов по </w:t>
      </w:r>
      <w:hyperlink w:history="0" r:id="rId1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3(1)</w:t>
        </w:r>
      </w:hyperlink>
      <w:r>
        <w:rPr>
          <w:sz w:val="24"/>
        </w:rPr>
        <w:t xml:space="preserve"> и </w:t>
      </w:r>
      <w:hyperlink w:history="0" r:id="rId2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3(7)</w:t>
        </w:r>
      </w:hyperlink>
      <w:r>
        <w:rPr>
          <w:sz w:val="24"/>
        </w:rPr>
        <w:t xml:space="preserve">, учитывающим показания ИПУ в помещении, оборудованном таким ИПУ, совпадут с результатами расчетов по </w:t>
      </w:r>
      <w:hyperlink w:history="0" r:id="rId2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3</w:t>
        </w:r>
      </w:hyperlink>
      <w:r>
        <w:rPr>
          <w:sz w:val="24"/>
        </w:rPr>
        <w:t xml:space="preserve"> и </w:t>
      </w:r>
      <w:hyperlink w:history="0" r:id="rId2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3(6)</w:t>
        </w:r>
      </w:hyperlink>
      <w:r>
        <w:rPr>
          <w:sz w:val="24"/>
        </w:rPr>
        <w:t xml:space="preserve">, проведенных без учета показаний ИПУ, установленного в единственном помещении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Дифференциация размера платы за отопление в зависимости от показаний ИПУ возникает с увеличением количества помещений (жилых и нежилых), оборудованных ИПУ. Чем больше в МКД помещений, оборудованных ИПУ теплоэнергии, тем более приближенными к фактическому потреблению теплоэнергии становятся результаты расчетов по </w:t>
      </w:r>
      <w:hyperlink w:history="0" r:id="rId23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3(1)</w:t>
        </w:r>
      </w:hyperlink>
      <w:r>
        <w:rPr>
          <w:sz w:val="24"/>
        </w:rPr>
        <w:t xml:space="preserve"> и </w:t>
      </w:r>
      <w:hyperlink w:history="0" r:id="rId2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3(7)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отмечаем, что величина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включает в себя площади всех жилых и нежилых помещений МКД, находящихся в собственности. Площади помещений, входящих в состав общего имущества, в величину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не включаются.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проверки обоснованности указанного разъяснения можно провести расчет по </w:t>
      </w:r>
      <w:hyperlink w:history="0" r:id="rId2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для всех помещений МКД, собственники которых должны оплачивать отопление (взяв за 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площадь всех помещений МКД).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при таком расчете общий объем тепла должен быть равен показаниям ОДПУ (все помещения суммарно оплачивают весь объем тепла). А для этого 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/S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должно быть равно 1, то есть 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=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(при этом 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в рассматриваемом примере - суммарная площадь всех помещений в собственности). Это доказывает, что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не включает площади помещений, входящих в состав общего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отмечается, что закон не предусматривает выделение тепловой энергии, потребляемой при содержании общего имущества в МКД, в качестве коммунального ресурса, подлежащего оплате отдельно от оплаты коммунальной услуги отопления.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Необходимо отметить, что при наличии ОДПУ в МКД потребители оплачивают весь объем тепловой энергии, поставленной в МКД, определенный исходя из показаний ОДПУ. Иного способа расчета платы коммунальной услуги по отоплению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Важно обратить внимание, что используемая в </w:t>
      </w:r>
      <w:hyperlink w:history="0" r:id="rId2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3(1)</w:t>
        </w:r>
      </w:hyperlink>
      <w:r>
        <w:rPr>
          <w:sz w:val="24"/>
        </w:rPr>
        <w:t xml:space="preserve"> величина </w:t>
      </w:r>
      <w:r>
        <w:rPr>
          <w:position w:val="-12"/>
        </w:rPr>
        <w:drawing>
          <wp:inline distT="0" distB="0" distL="0" distR="0">
            <wp:extent cx="4457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не равна объему тепловой энергии, потребленному в МКД в целом, определенному по ОДПУ. В противном случае второе слагаемое в скобках </w:t>
      </w:r>
      <w:hyperlink w:history="0" r:id="rId2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3(1)</w:t>
        </w:r>
      </w:hyperlink>
      <w:r>
        <w:rPr>
          <w:sz w:val="24"/>
        </w:rPr>
        <w:t xml:space="preserve"> было бы равно нулю, в связи с чем </w:t>
      </w:r>
      <w:hyperlink w:history="0" r:id="rId2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3(1)</w:t>
        </w:r>
      </w:hyperlink>
      <w:r>
        <w:rPr>
          <w:sz w:val="24"/>
        </w:rPr>
        <w:t xml:space="preserve"> утратила бы смысл.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рассчитывается отдельно для каждого i-того помещения в МКД одним из трех способов, указанных в настоящем письме ранее, в зависимости от обстоятельств, присущих соответствующему i-тому помещению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Полученные для каждого помещения в МКД значения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суммируются, результатом такого суммирования является </w:t>
      </w:r>
      <w:r>
        <w:rPr>
          <w:position w:val="-12"/>
        </w:rPr>
        <w:drawing>
          <wp:inline distT="0" distB="0" distL="0" distR="0">
            <wp:extent cx="4457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Иного порядка расчета </w:t>
      </w:r>
      <w:r>
        <w:rPr>
          <w:position w:val="-12"/>
        </w:rPr>
        <w:drawing>
          <wp:inline distT="0" distB="0" distL="0" distR="0">
            <wp:extent cx="4457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жилищным законодательством не установлено.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отмечается, что в случае если в МКД только одно помещение оборудовано ИПУ, при этом в МКД нет помещений без централизованного отопления, тогда для помещения, оборудованного ИПУ,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будет определяться по показаниям ИПУ, для остальных помещений в МКД V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будет рассчитываться по </w:t>
      </w:r>
      <w:hyperlink w:history="0" r:id="rId3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33"/>
        </w:rPr>
        <w:drawing>
          <wp:inline distT="0" distB="0" distL="0" distR="0">
            <wp:extent cx="1314450" cy="5829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Если ИПУ есть только в одном помещении в МКД, тогда справедливо равенство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33"/>
        </w:rPr>
        <w:drawing>
          <wp:inline distT="0" distB="0" distL="0" distR="0">
            <wp:extent cx="1245870" cy="5829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ИПУ</w:t>
      </w:r>
      <w:r>
        <w:rPr>
          <w:sz w:val="24"/>
        </w:rPr>
        <w:t xml:space="preserve"> - показания ИПУ, установленного в помещении в МКД, оборудованным таким ИПУ;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iИПУ</w:t>
      </w:r>
      <w:r>
        <w:rPr>
          <w:sz w:val="24"/>
        </w:rPr>
        <w:t xml:space="preserve"> - площадь i-того помещения в МКД, оборудованного ИПУ.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указанном случае величина </w:t>
      </w:r>
      <w:r>
        <w:rPr>
          <w:position w:val="-12"/>
        </w:rPr>
        <w:drawing>
          <wp:inline distT="0" distB="0" distL="0" distR="0">
            <wp:extent cx="44577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будет равна: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12"/>
        </w:rPr>
        <w:drawing>
          <wp:inline distT="0" distB="0" distL="0" distR="0">
            <wp:extent cx="196596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этом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8"/>
        </w:rPr>
        <w:drawing>
          <wp:inline distT="0" distB="0" distL="0" distR="0">
            <wp:extent cx="261747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Таким образом,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8"/>
        </w:rPr>
        <w:drawing>
          <wp:inline distT="0" distB="0" distL="0" distR="0">
            <wp:extent cx="501777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раскрытии скобок путем умножения величины </w:t>
      </w:r>
      <w:r>
        <w:rPr>
          <w:position w:val="-28"/>
        </w:rPr>
        <w:drawing>
          <wp:inline distT="0" distB="0" distL="0" distR="0">
            <wp:extent cx="45720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на слагаемые в скобках, учитывая, что </w:t>
      </w:r>
      <w:r>
        <w:rPr>
          <w:position w:val="-28"/>
        </w:rPr>
        <w:drawing>
          <wp:inline distT="0" distB="0" distL="0" distR="0">
            <wp:extent cx="152019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, получается выражение: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8"/>
        </w:rPr>
        <w:drawing>
          <wp:inline distT="0" distB="0" distL="0" distR="0">
            <wp:extent cx="366903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Величина </w:t>
      </w:r>
      <w:r>
        <w:rPr>
          <w:position w:val="-12"/>
        </w:rPr>
        <w:drawing>
          <wp:inline distT="0" distB="0" distL="0" distR="0">
            <wp:extent cx="41148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является общей площадью всех жилых и нежилых помещений в МКД, которая в </w:t>
      </w:r>
      <w:hyperlink w:history="0" r:id="rId4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формуле 3(7)</w:t>
        </w:r>
      </w:hyperlink>
      <w:r>
        <w:rPr>
          <w:sz w:val="24"/>
        </w:rPr>
        <w:t xml:space="preserve"> обозначена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для случая, когда МКД оборудован ОДПУ и в таком МКД только одно помещение оборудовано ИПУ, при этом в МКД нет помещений без централизованного отопления, справедливо равенство: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8"/>
        </w:rPr>
        <w:drawing>
          <wp:inline distT="0" distB="0" distL="0" distR="0">
            <wp:extent cx="1451610" cy="5143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- общая площадь всех жилых и нежилых помещений в МКД;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</w:t>
      </w:r>
      <w:r>
        <w:rPr>
          <w:sz w:val="24"/>
          <w:vertAlign w:val="subscript"/>
        </w:rPr>
        <w:t xml:space="preserve">ИПУ</w:t>
      </w:r>
      <w:r>
        <w:rPr>
          <w:sz w:val="24"/>
        </w:rPr>
        <w:t xml:space="preserve"> - показания ИПУ, установленного в i-том помещении в МКД, оборудованным таким ИПУ;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iИПУ</w:t>
      </w:r>
      <w:r>
        <w:rPr>
          <w:sz w:val="24"/>
        </w:rPr>
        <w:t xml:space="preserve"> - площадь i-того помещения в МКД, оборудованного ИПУ.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отмечается, что установленный </w:t>
      </w:r>
      <w:hyperlink w:history="0" r:id="rId4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порядок расчета размера платы за коммунальную услугу по отоплению в МКД, которые оснащены ОДПУ тепловой энергии, соответствует </w:t>
      </w:r>
      <w:hyperlink w:history="0" r:id="rId4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157</w:t>
        </w:r>
      </w:hyperlink>
      <w:r>
        <w:rPr>
          <w:sz w:val="24"/>
        </w:rPr>
        <w:t xml:space="preserve"> Жилищного кодекса Российской Федерации, предусматривающей определение объема потребляемых коммунальных услуг по показаниям приборов учета и лишь при их отсутствии допускающей применение нормативов потребления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Это также согласуется с положениями </w:t>
      </w:r>
      <w:hyperlink w:history="0" r:id="rId44" w:tooltip="Постановление Конституционного Суда РФ от 10.07.2018 N 30-П &quot;По делу о проверке конституционности части 1 статьи 157 Жилищного кодекса Российской Федерации, абзацев третьего и четвертого пункта 42(1) Правил предоставления коммунальных услуг собственникам и пользователям помещений в многоквартирных домах и жилых домов в связи с жалобой гражданина С.Н. Деминца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Конституционного Суда Российской Федерации от 10 июля 2018 г. N 30-П о приоритетном значении данных приборов учета энергетических ресурсов по сравнению с расчетными способами исчисления их количества при определении размера платы за поставленные энергетические ресурсы и необходимости установления такого правового регулирования, которое бы предусматривало порядок определения платы за коммунальную услугу по отоплению в МКД, которые оснащены ОДПУ тепловой энергии и в которых не все помещения оборудованы ИПУ тепловой энергии, с учетом показаний указанных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проведения проверки законности начислений физическое лицо также вправе обратиться в органы Государственного жилищного надзора.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установление и исследование фактических обстоятельств конкретного дела, их юридическая оценка в соответствии с </w:t>
      </w:r>
      <w:hyperlink w:history="0" r:id="rId45" w:tooltip="Постановление Правительства РФ от 18.11.2013 N 1038 (ред. от 17.10.2024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 ноября 2013 г. N 1038, не входят в компетенцию Минстроя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4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8713-ОГ/00</w:t>
            <w:br/>
            <w:t>&lt;О расчете размера платы за коммунальную услугу по отоплению&gt;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31.03.2025 N 8713-ОГ/00 &lt;О расчете размера платы за коммунальную услугу по отоплению&gt;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5337&amp;date=03.04.2025&amp;dst=100031&amp;field=134&amp;demo=2" TargetMode = "External"/>
	<Relationship Id="rId7" Type="http://schemas.openxmlformats.org/officeDocument/2006/relationships/hyperlink" Target="https://login.consultant.ru/link/?req=doc&amp;base=LAW&amp;n=485337&amp;date=03.04.2025&amp;dst=537&amp;field=134&amp;demo=2" TargetMode = "External"/>
	<Relationship Id="rId8" Type="http://schemas.openxmlformats.org/officeDocument/2006/relationships/image" Target="media/image2.wmf"/>
	<Relationship Id="rId9" Type="http://schemas.openxmlformats.org/officeDocument/2006/relationships/hyperlink" Target="https://login.consultant.ru/link/?req=doc&amp;base=LAW&amp;n=485337&amp;date=03.04.2025&amp;dst=561&amp;field=134&amp;demo=2" TargetMode = "External"/>
	<Relationship Id="rId10" Type="http://schemas.openxmlformats.org/officeDocument/2006/relationships/image" Target="media/image3.wmf"/>
	<Relationship Id="rId11" Type="http://schemas.openxmlformats.org/officeDocument/2006/relationships/hyperlink" Target="https://login.consultant.ru/link/?req=doc&amp;base=LAW&amp;n=485337&amp;date=03.04.2025&amp;dst=537&amp;field=134&amp;demo=2" TargetMode = "External"/>
	<Relationship Id="rId12" Type="http://schemas.openxmlformats.org/officeDocument/2006/relationships/image" Target="media/image4.wmf"/>
	<Relationship Id="rId13" Type="http://schemas.openxmlformats.org/officeDocument/2006/relationships/image" Target="media/image5.wmf"/>
	<Relationship Id="rId14" Type="http://schemas.openxmlformats.org/officeDocument/2006/relationships/hyperlink" Target="https://login.consultant.ru/link/?req=doc&amp;base=LAW&amp;n=485337&amp;date=03.04.2025&amp;dst=537&amp;field=134&amp;demo=2" TargetMode = "External"/>
	<Relationship Id="rId15" Type="http://schemas.openxmlformats.org/officeDocument/2006/relationships/hyperlink" Target="https://login.consultant.ru/link/?req=doc&amp;base=LAW&amp;n=485337&amp;date=03.04.2025&amp;dst=561&amp;field=134&amp;demo=2" TargetMode = "External"/>
	<Relationship Id="rId16" Type="http://schemas.openxmlformats.org/officeDocument/2006/relationships/hyperlink" Target="https://login.consultant.ru/link/?req=doc&amp;base=LAW&amp;n=485337&amp;date=03.04.2025&amp;dst=528&amp;field=134&amp;demo=2" TargetMode = "External"/>
	<Relationship Id="rId17" Type="http://schemas.openxmlformats.org/officeDocument/2006/relationships/hyperlink" Target="https://login.consultant.ru/link/?req=doc&amp;base=LAW&amp;n=485337&amp;date=03.04.2025&amp;dst=561&amp;field=134&amp;demo=2" TargetMode = "External"/>
	<Relationship Id="rId18" Type="http://schemas.openxmlformats.org/officeDocument/2006/relationships/hyperlink" Target="https://login.consultant.ru/link/?req=doc&amp;base=LAW&amp;n=485337&amp;date=03.04.2025&amp;dst=561&amp;field=134&amp;demo=2" TargetMode = "External"/>
	<Relationship Id="rId19" Type="http://schemas.openxmlformats.org/officeDocument/2006/relationships/hyperlink" Target="https://login.consultant.ru/link/?req=doc&amp;base=LAW&amp;n=485337&amp;date=03.04.2025&amp;dst=537&amp;field=134&amp;demo=2" TargetMode = "External"/>
	<Relationship Id="rId20" Type="http://schemas.openxmlformats.org/officeDocument/2006/relationships/hyperlink" Target="https://login.consultant.ru/link/?req=doc&amp;base=LAW&amp;n=485337&amp;date=03.04.2025&amp;dst=561&amp;field=134&amp;demo=2" TargetMode = "External"/>
	<Relationship Id="rId21" Type="http://schemas.openxmlformats.org/officeDocument/2006/relationships/hyperlink" Target="https://login.consultant.ru/link/?req=doc&amp;base=LAW&amp;n=485337&amp;date=03.04.2025&amp;dst=528&amp;field=134&amp;demo=2" TargetMode = "External"/>
	<Relationship Id="rId22" Type="http://schemas.openxmlformats.org/officeDocument/2006/relationships/hyperlink" Target="https://login.consultant.ru/link/?req=doc&amp;base=LAW&amp;n=485337&amp;date=03.04.2025&amp;dst=550&amp;field=134&amp;demo=2" TargetMode = "External"/>
	<Relationship Id="rId23" Type="http://schemas.openxmlformats.org/officeDocument/2006/relationships/hyperlink" Target="https://login.consultant.ru/link/?req=doc&amp;base=LAW&amp;n=485337&amp;date=03.04.2025&amp;dst=537&amp;field=134&amp;demo=2" TargetMode = "External"/>
	<Relationship Id="rId24" Type="http://schemas.openxmlformats.org/officeDocument/2006/relationships/hyperlink" Target="https://login.consultant.ru/link/?req=doc&amp;base=LAW&amp;n=485337&amp;date=03.04.2025&amp;dst=561&amp;field=134&amp;demo=2" TargetMode = "External"/>
	<Relationship Id="rId25" Type="http://schemas.openxmlformats.org/officeDocument/2006/relationships/hyperlink" Target="https://login.consultant.ru/link/?req=doc&amp;base=LAW&amp;n=485337&amp;date=03.04.2025&amp;dst=537&amp;field=134&amp;demo=2" TargetMode = "External"/>
	<Relationship Id="rId26" Type="http://schemas.openxmlformats.org/officeDocument/2006/relationships/hyperlink" Target="https://login.consultant.ru/link/?req=doc&amp;base=LAW&amp;n=485337&amp;date=03.04.2025&amp;dst=537&amp;field=134&amp;demo=2" TargetMode = "External"/>
	<Relationship Id="rId27" Type="http://schemas.openxmlformats.org/officeDocument/2006/relationships/image" Target="media/image6.wmf"/>
	<Relationship Id="rId28" Type="http://schemas.openxmlformats.org/officeDocument/2006/relationships/hyperlink" Target="https://login.consultant.ru/link/?req=doc&amp;base=LAW&amp;n=485337&amp;date=03.04.2025&amp;dst=537&amp;field=134&amp;demo=2" TargetMode = "External"/>
	<Relationship Id="rId29" Type="http://schemas.openxmlformats.org/officeDocument/2006/relationships/hyperlink" Target="https://login.consultant.ru/link/?req=doc&amp;base=LAW&amp;n=485337&amp;date=03.04.2025&amp;dst=537&amp;field=134&amp;demo=2" TargetMode = "External"/>
	<Relationship Id="rId30" Type="http://schemas.openxmlformats.org/officeDocument/2006/relationships/hyperlink" Target="https://login.consultant.ru/link/?req=doc&amp;base=LAW&amp;n=485337&amp;date=03.04.2025&amp;dst=561&amp;field=134&amp;demo=2" TargetMode = "External"/>
	<Relationship Id="rId31" Type="http://schemas.openxmlformats.org/officeDocument/2006/relationships/image" Target="media/image7.wmf"/>
	<Relationship Id="rId32" Type="http://schemas.openxmlformats.org/officeDocument/2006/relationships/image" Target="media/image8.wmf"/>
	<Relationship Id="rId33" Type="http://schemas.openxmlformats.org/officeDocument/2006/relationships/image" Target="media/image9.wmf"/>
	<Relationship Id="rId34" Type="http://schemas.openxmlformats.org/officeDocument/2006/relationships/image" Target="media/image10.wmf"/>
	<Relationship Id="rId35" Type="http://schemas.openxmlformats.org/officeDocument/2006/relationships/image" Target="media/image11.wmf"/>
	<Relationship Id="rId36" Type="http://schemas.openxmlformats.org/officeDocument/2006/relationships/image" Target="media/image12.wmf"/>
	<Relationship Id="rId37" Type="http://schemas.openxmlformats.org/officeDocument/2006/relationships/image" Target="media/image13.wmf"/>
	<Relationship Id="rId38" Type="http://schemas.openxmlformats.org/officeDocument/2006/relationships/image" Target="media/image14.wmf"/>
	<Relationship Id="rId39" Type="http://schemas.openxmlformats.org/officeDocument/2006/relationships/image" Target="media/image15.wmf"/>
	<Relationship Id="rId40" Type="http://schemas.openxmlformats.org/officeDocument/2006/relationships/hyperlink" Target="https://login.consultant.ru/link/?req=doc&amp;base=LAW&amp;n=485337&amp;date=03.04.2025&amp;dst=561&amp;field=134&amp;demo=2" TargetMode = "External"/>
	<Relationship Id="rId41" Type="http://schemas.openxmlformats.org/officeDocument/2006/relationships/image" Target="media/image16.wmf"/>
	<Relationship Id="rId42" Type="http://schemas.openxmlformats.org/officeDocument/2006/relationships/hyperlink" Target="https://login.consultant.ru/link/?req=doc&amp;base=LAW&amp;n=485337&amp;date=03.04.2025&amp;dst=100031&amp;field=134&amp;demo=2" TargetMode = "External"/>
	<Relationship Id="rId43" Type="http://schemas.openxmlformats.org/officeDocument/2006/relationships/hyperlink" Target="https://login.consultant.ru/link/?req=doc&amp;base=LAW&amp;n=493210&amp;date=03.04.2025&amp;dst=922&amp;field=134&amp;demo=2" TargetMode = "External"/>
	<Relationship Id="rId44" Type="http://schemas.openxmlformats.org/officeDocument/2006/relationships/hyperlink" Target="https://login.consultant.ru/link/?req=doc&amp;base=LAW&amp;n=302136&amp;date=03.04.2025&amp;demo=2" TargetMode = "External"/>
	<Relationship Id="rId45" Type="http://schemas.openxmlformats.org/officeDocument/2006/relationships/hyperlink" Target="https://login.consultant.ru/link/?req=doc&amp;base=LAW&amp;n=488458&amp;date=03.04.2025&amp;dst=100015&amp;field=134&amp;demo=2" TargetMode = "External"/>
	<Relationship Id="rId46" Type="http://schemas.openxmlformats.org/officeDocument/2006/relationships/hyperlink" Target="https://login.consultant.ru/link/?req=doc&amp;base=LAW&amp;n=490536&amp;date=03.04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31.03.2025 N 8713-ОГ/00
&lt;О расчете размера платы за коммунальную услугу по отоплению&gt;</dc:title>
  <dcterms:created xsi:type="dcterms:W3CDTF">2025-04-03T14:57:16Z</dcterms:created>
</cp:coreProperties>
</file>