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31 марта 2025 г. N 18447-ДН/04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рамках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6" w:tooltip="Постановление Правительства РФ от 18.11.2013 N 1038 (ред. от 17.10.2024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------------ Недействующая редакция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7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статьей 142</w:t>
        </w:r>
      </w:hyperlink>
      <w:r>
        <w:rPr>
          <w:sz w:val="24"/>
        </w:rPr>
        <w:t xml:space="preserve"> Жилищного кодекса Российской Федерации (далее - ЖК РФ) для представления и защиты общих интересов при управлении многоквартирными домами два и более товарищества собственников жилья (далее - ТСЖ) по договору между собой могут создать объединение (ассоциацию, союз) товариществ собственников жилья. Управление таким объединением осуществляется в соответствии с требованиями законодательства Российской Федерации о некоммерческих организациях.</w:t>
      </w:r>
    </w:p>
    <w:p>
      <w:pPr>
        <w:pStyle w:val="0"/>
        <w:spacing w:before="240" w:line-rule="auto"/>
        <w:ind w:firstLine="540"/>
        <w:jc w:val="both"/>
      </w:pPr>
      <w:hyperlink w:history="0" r:id="rId8" w:tooltip="Федеральный закон от 12.01.1996 N 7-ФЗ (ред. от 13.12.2024) &quot;О некоммерческих организациях&quot; {КонсультантПлюс}">
        <w:r>
          <w:rPr>
            <w:sz w:val="24"/>
            <w:color w:val="0000ff"/>
          </w:rPr>
          <w:t xml:space="preserve">Пунктом 1 статьи 11</w:t>
        </w:r>
      </w:hyperlink>
      <w:r>
        <w:rPr>
          <w:sz w:val="24"/>
        </w:rPr>
        <w:t xml:space="preserve"> Федерального закона от 12 января 1996 г. N 7-ФЗ "О некоммерческих организациях" (далее - Закон N 7-ФЗ) установлено, что юридические лица и (или) граждане в целях представления и защиты общих, в том числе профессиональных, интересов, для достижения общественно полезных, а также иных не противоречащих федеральным законам и имеющих некоммерческий характер целей вправе создавать объединения в форме ассоциаций (союзов), являющиеся некоммерческими организациями, основанными на членстве.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Федеральный закон от 12.01.1996 N 7-ФЗ (ред. от 13.12.2024) &quot;О некоммерческих организациях&quot; {КонсультантПлюс}">
        <w:r>
          <w:rPr>
            <w:sz w:val="24"/>
            <w:color w:val="0000ff"/>
          </w:rPr>
          <w:t xml:space="preserve">пункту 1 статьи 14</w:t>
        </w:r>
      </w:hyperlink>
      <w:r>
        <w:rPr>
          <w:sz w:val="24"/>
        </w:rPr>
        <w:t xml:space="preserve"> Закона N 7-ФЗ учредительным документом некоммерческой организации является устав, который утверждается ее учредителями (участниками, членами, собственниками имущества).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10" w:tooltip="Федеральный закон от 12.01.1996 N 7-ФЗ (ред. от 13.12.2024) &quot;О некоммерческих организациях&quot; {КонсультантПлюс}">
        <w:r>
          <w:rPr>
            <w:sz w:val="24"/>
            <w:color w:val="0000ff"/>
          </w:rPr>
          <w:t xml:space="preserve">подпункта 5 пункта 3 статьи 14</w:t>
        </w:r>
      </w:hyperlink>
      <w:r>
        <w:rPr>
          <w:sz w:val="24"/>
        </w:rPr>
        <w:t xml:space="preserve"> Закона N 7-ФЗ устав некоммерческой организации должен предусматривать в том числе порядок вступления (принятия) членов (участников) в состав некоммерческой организации и выхода из нее, права и обязанности (в том числе имущественные) членов (участников) некоммерческой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1" w:tooltip="Федеральный закон от 12.01.1996 N 7-ФЗ (ред. от 13.12.2024) &quot;О некоммерческих организациях&quot; {КонсультантПлюс}">
        <w:r>
          <w:rPr>
            <w:sz w:val="24"/>
            <w:color w:val="0000ff"/>
          </w:rPr>
          <w:t xml:space="preserve">пунктом 1 статьи 26</w:t>
        </w:r>
      </w:hyperlink>
      <w:r>
        <w:rPr>
          <w:sz w:val="24"/>
        </w:rPr>
        <w:t xml:space="preserve"> Закона N 7-ФЗ источниками формирования имущества некоммерческой организации в денежной и иных формах являются в числе прочего регулярные и единовременные поступления от учредителей (участников, членов).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</w:t>
      </w:r>
      <w:hyperlink w:history="0" r:id="rId12" w:tooltip="Федеральный закон от 12.01.1996 N 7-ФЗ (ред. от 13.12.2024) &quot;О некоммерческих организациях&quot; {КонсультантПлюс}">
        <w:r>
          <w:rPr>
            <w:sz w:val="24"/>
            <w:color w:val="0000ff"/>
          </w:rPr>
          <w:t xml:space="preserve">пунктом 2 статьи 26</w:t>
        </w:r>
      </w:hyperlink>
      <w:r>
        <w:rPr>
          <w:sz w:val="24"/>
        </w:rPr>
        <w:t xml:space="preserve"> Закона N 7-ФЗ установлено, что порядок регулярных поступлений от учредителей (участников, членов) определяется учредительными документами некоммерческой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в случае создания несколькими ТСЖ ассоциации (союза), такие ТСЖ, являющиеся членами (участниками) указанной ассоциации (союза), обязаны исполнять требования устава такой ассоциации (союза), в том числе в части обязанности в установленном порядке и размере оплачивать членские взносы.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13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пунктов 2</w:t>
        </w:r>
      </w:hyperlink>
      <w:r>
        <w:rPr>
          <w:sz w:val="24"/>
        </w:rPr>
        <w:t xml:space="preserve"> и </w:t>
      </w:r>
      <w:hyperlink w:history="0" r:id="rId14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3 части 1 статьи 137</w:t>
        </w:r>
      </w:hyperlink>
      <w:r>
        <w:rPr>
          <w:sz w:val="24"/>
        </w:rPr>
        <w:t xml:space="preserve"> ЖК РФ ТСЖ вправе в числе прочего определять смету доходов и расходов на год, в том числе необходимые расходы на содержание и ремонт общего имущества в многоквартирном доме, затраты на капитальный ремонт и реконструкцию многоквартирного дома, специальные взносы и отчисления в резервный фонд, расходы на другие установленные </w:t>
      </w:r>
      <w:hyperlink w:history="0" r:id="rId15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главой 13</w:t>
        </w:r>
      </w:hyperlink>
      <w:r>
        <w:rPr>
          <w:sz w:val="24"/>
        </w:rPr>
        <w:t xml:space="preserve"> ЖК РФ и уставом ТСЖ цели, а также устанавливать на основе принятой сметы доходов и расходов на год товарищества размеры платежей и взносов для каждого собственника помещения в многоквартирном доме в соответствии с его долей в праве общей собственности на общее имущество в многоквартирном доме.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6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пунктам 4</w:t>
        </w:r>
      </w:hyperlink>
      <w:r>
        <w:rPr>
          <w:sz w:val="24"/>
        </w:rPr>
        <w:t xml:space="preserve">, </w:t>
      </w:r>
      <w:hyperlink w:history="0" r:id="rId17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, </w:t>
      </w:r>
      <w:hyperlink w:history="0" r:id="rId18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8.1 части 2 статьи 145</w:t>
        </w:r>
      </w:hyperlink>
      <w:r>
        <w:rPr>
          <w:sz w:val="24"/>
        </w:rPr>
        <w:t xml:space="preserve"> ЖК РФ к компетенции общего собрания членов ТСЖ относятся в том числе установление размера обязательных платежей и взносов, утверждение порядка образования резервного фонда товарищества, иных специальных фондов товарищества (в том числе фондов на проведение текущего и капитального ремонта общего имущества в многоквартирном доме) и их использования, а также утверждение отчетов об использовании таких фондов, утверждение смет доходов и расходов товарищества на год, отчетов об исполнении таких смет, аудиторских заключений (в случае проведения аудиторских проверок).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расходы ТСЖ на оплату членских взносов в ассоциацию (союз), членом (участником) которой является ТСЖ, должны быть предусмотрены сметой доходов и расходов ТСЖ, утвержденной в установленном порядке общим собранием членов ТСЖ.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Указанные расходы ТСЖ являются целевыми, возникающими на основании решения органов управления ТСЖ о вступлении в ассоциацию (союз), и не могут быть предусмотрены статьей сметы "непредвиденные расходы".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ТСЖ расходует собственные средства, которые в соответствии с </w:t>
      </w:r>
      <w:hyperlink w:history="0" r:id="rId19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2 статьи 151</w:t>
        </w:r>
      </w:hyperlink>
      <w:r>
        <w:rPr>
          <w:sz w:val="24"/>
        </w:rPr>
        <w:t xml:space="preserve"> ЖК РФ состоят из обязательных платежей, вступительных и иных взносов членов товарищества, доходов от хозяйственной деятельности товарищества, направленных на осуществление целей, задач и выполнение обязанностей товарищества, субсидий на обеспечение эксплуатации общего имущества в многоквартирном доме, проведение текущего и капитального ремонта, предоставление отдельных видов коммунальных услуг и иных субсидий, прочих поступлений.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Отмечается, что согласно </w:t>
      </w:r>
      <w:hyperlink w:history="0" r:id="rId20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1 статьи 158</w:t>
        </w:r>
      </w:hyperlink>
      <w:r>
        <w:rPr>
          <w:sz w:val="24"/>
        </w:rPr>
        <w:t xml:space="preserve"> ЖК РФ бремя конкретного собственника помещения в многоквартирном доме по содержанию общего имущества в многоквартирном доме соразмерно доле такого собственника в праве общей собственности на общее имущество в многоквартирном доме, при этом в соответствии с </w:t>
      </w:r>
      <w:hyperlink w:history="0" r:id="rId21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1 статьи 37</w:t>
        </w:r>
      </w:hyperlink>
      <w:r>
        <w:rPr>
          <w:sz w:val="24"/>
        </w:rPr>
        <w:t xml:space="preserve"> ЖК РФ доля в праве общей собственности на общее имущество в многоквартирном доме собственника помещения в этом доме пропорциональна размеру общей площади указанного помещения. Следовательно, удельный размер платежа за содержание общего жилого помещения в многоквартирном доме в руб./кв. м одинаков для всех собственников помещений в многоквартирном доме.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Следовательно, размер членского взноса для члена ТСЖ в руб./кв. м равен размеру платы за содержание жилого помещения в многоквартирном доме в руб./кв. м для собственника помещения в многоквартирном доме, не являющегося членом ТСЖ.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31.03.2025 N 18447-ДН/04</w:t>
            <w:br/>
            <w:t>&lt;О расходах ТСЖ на оплату членских взносов в ассоциацию (союз)&gt;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31.03.2025 N 18447-ДН/04 &lt;О расходах ТСЖ на оплату членских взносов в ассоциацию (союз)&gt;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8458&amp;date=03.04.2025&amp;dst=166&amp;field=134&amp;demo=2" TargetMode = "External"/>
	<Relationship Id="rId7" Type="http://schemas.openxmlformats.org/officeDocument/2006/relationships/hyperlink" Target="https://login.consultant.ru/link/?req=doc&amp;base=LAW&amp;n=493210&amp;date=03.04.2025&amp;dst=101057&amp;field=134&amp;demo=2" TargetMode = "External"/>
	<Relationship Id="rId8" Type="http://schemas.openxmlformats.org/officeDocument/2006/relationships/hyperlink" Target="https://login.consultant.ru/link/?req=doc&amp;base=LAW&amp;n=493282&amp;date=03.04.2025&amp;dst=100310&amp;field=134&amp;demo=2" TargetMode = "External"/>
	<Relationship Id="rId9" Type="http://schemas.openxmlformats.org/officeDocument/2006/relationships/hyperlink" Target="https://login.consultant.ru/link/?req=doc&amp;base=LAW&amp;n=493282&amp;date=03.04.2025&amp;dst=626&amp;field=134&amp;demo=2" TargetMode = "External"/>
	<Relationship Id="rId10" Type="http://schemas.openxmlformats.org/officeDocument/2006/relationships/hyperlink" Target="https://login.consultant.ru/link/?req=doc&amp;base=LAW&amp;n=493282&amp;date=03.04.2025&amp;dst=635&amp;field=134&amp;demo=2" TargetMode = "External"/>
	<Relationship Id="rId11" Type="http://schemas.openxmlformats.org/officeDocument/2006/relationships/hyperlink" Target="https://login.consultant.ru/link/?req=doc&amp;base=LAW&amp;n=493282&amp;date=03.04.2025&amp;dst=100180&amp;field=134&amp;demo=2" TargetMode = "External"/>
	<Relationship Id="rId12" Type="http://schemas.openxmlformats.org/officeDocument/2006/relationships/hyperlink" Target="https://login.consultant.ru/link/?req=doc&amp;base=LAW&amp;n=493282&amp;date=03.04.2025&amp;dst=100188&amp;field=134&amp;demo=2" TargetMode = "External"/>
	<Relationship Id="rId13" Type="http://schemas.openxmlformats.org/officeDocument/2006/relationships/hyperlink" Target="https://login.consultant.ru/link/?req=doc&amp;base=LAW&amp;n=493210&amp;date=03.04.2025&amp;dst=100778&amp;field=134&amp;demo=2" TargetMode = "External"/>
	<Relationship Id="rId14" Type="http://schemas.openxmlformats.org/officeDocument/2006/relationships/hyperlink" Target="https://login.consultant.ru/link/?req=doc&amp;base=LAW&amp;n=493210&amp;date=03.04.2025&amp;dst=100779&amp;field=134&amp;demo=2" TargetMode = "External"/>
	<Relationship Id="rId15" Type="http://schemas.openxmlformats.org/officeDocument/2006/relationships/hyperlink" Target="https://login.consultant.ru/link/?req=doc&amp;base=LAW&amp;n=493210&amp;date=03.04.2025&amp;dst=100761&amp;field=134&amp;demo=2" TargetMode = "External"/>
	<Relationship Id="rId16" Type="http://schemas.openxmlformats.org/officeDocument/2006/relationships/hyperlink" Target="https://login.consultant.ru/link/?req=doc&amp;base=LAW&amp;n=493210&amp;date=03.04.2025&amp;dst=100827&amp;field=134&amp;demo=2" TargetMode = "External"/>
	<Relationship Id="rId17" Type="http://schemas.openxmlformats.org/officeDocument/2006/relationships/hyperlink" Target="https://login.consultant.ru/link/?req=doc&amp;base=LAW&amp;n=493210&amp;date=03.04.2025&amp;dst=101078&amp;field=134&amp;demo=2" TargetMode = "External"/>
	<Relationship Id="rId18" Type="http://schemas.openxmlformats.org/officeDocument/2006/relationships/hyperlink" Target="https://login.consultant.ru/link/?req=doc&amp;base=LAW&amp;n=493210&amp;date=03.04.2025&amp;dst=101080&amp;field=134&amp;demo=2" TargetMode = "External"/>
	<Relationship Id="rId19" Type="http://schemas.openxmlformats.org/officeDocument/2006/relationships/hyperlink" Target="https://login.consultant.ru/link/?req=doc&amp;base=LAW&amp;n=493210&amp;date=03.04.2025&amp;dst=100876&amp;field=134&amp;demo=2" TargetMode = "External"/>
	<Relationship Id="rId20" Type="http://schemas.openxmlformats.org/officeDocument/2006/relationships/hyperlink" Target="https://login.consultant.ru/link/?req=doc&amp;base=LAW&amp;n=493210&amp;date=03.04.2025&amp;dst=101505&amp;field=134&amp;demo=2" TargetMode = "External"/>
	<Relationship Id="rId21" Type="http://schemas.openxmlformats.org/officeDocument/2006/relationships/hyperlink" Target="https://login.consultant.ru/link/?req=doc&amp;base=LAW&amp;n=493210&amp;date=03.04.2025&amp;dst=10027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31.03.2025 N 18447-ДН/04
&lt;О расходах ТСЖ на оплату членских взносов в ассоциацию (союз)&gt;</dc:title>
  <dcterms:created xsi:type="dcterms:W3CDTF">2025-04-03T14:17:56Z</dcterms:created>
</cp:coreProperties>
</file>