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СФР от 27.12.2024 N 2683</w:t>
              <w:br/>
              <w:t xml:space="preserve">"Об утверждении Административного регламента Фонда пенсионного и социального страхования Российской Федерации по предоставлению государственной услуги "Информирование граждан об отнесении к категории граждан предпенсионного возраста"</w:t>
              <w:br/>
              <w:t xml:space="preserve">(Зарегистрировано в Минюсте России 02.04.2025 N 81728)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04.04.2025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 апреля 2025 г. N 81728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ФОНД ПЕНСИОННОГО И СОЦИАЛЬНОГО СТРАХОВАНИЯ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27 декабря 2024 г. N 2683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АДМИНИСТРАТИВНОГО РЕГЛАМЕНТА</w:t>
      </w:r>
    </w:p>
    <w:p>
      <w:pPr>
        <w:pStyle w:val="2"/>
        <w:jc w:val="center"/>
      </w:pPr>
      <w:r>
        <w:rPr>
          <w:sz w:val="24"/>
        </w:rPr>
        <w:t xml:space="preserve">ФОНДА ПЕНСИОННОГО И СОЦИАЛЬНОГО СТРАХОВАНИЯ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ПО ПРЕДОСТАВЛЕНИЮ ГОСУДАРСТВЕННОЙ УСЛУГИ</w:t>
      </w:r>
    </w:p>
    <w:p>
      <w:pPr>
        <w:pStyle w:val="2"/>
        <w:jc w:val="center"/>
      </w:pPr>
      <w:r>
        <w:rPr>
          <w:sz w:val="24"/>
        </w:rPr>
        <w:t xml:space="preserve">"ИНФОРМИРОВАНИЕ ГРАЖДАН ОБ ОТНЕСЕНИИ К КАТЕГОРИИ</w:t>
      </w:r>
    </w:p>
    <w:p>
      <w:pPr>
        <w:pStyle w:val="2"/>
        <w:jc w:val="center"/>
      </w:pPr>
      <w:r>
        <w:rPr>
          <w:sz w:val="24"/>
        </w:rPr>
        <w:t xml:space="preserve">ГРАЖДАН ПРЕДПЕНСИОННОГО ВОЗРАСТА"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03.10.2018 N 350-ФЗ (ред. от 29.10.2024) &quot;О внесении изменений в отдельные законодательные акты Российской Федерации по вопросам назначения и выплаты пенсий&quot; (с изм. и доп., вступ. в силу с 01.01.2025) {КонсультантПлюс}">
        <w:r>
          <w:rPr>
            <w:sz w:val="24"/>
            <w:color w:val="0000ff"/>
          </w:rPr>
          <w:t xml:space="preserve">частью 12 статьи 10</w:t>
        </w:r>
      </w:hyperlink>
      <w:r>
        <w:rPr>
          <w:sz w:val="24"/>
        </w:rPr>
        <w:t xml:space="preserve"> Федерального закона от 3 октября 2018 г. N 350-ФЗ "О внесении изменений в отдельные законодательные акты Российской Федерации по вопросам назначения и выплаты пенсий", </w:t>
      </w:r>
      <w:hyperlink w:history="0" r:id="rId8" w:tooltip="Постановление Правительства РФ от 20.07.2021 N 1228 (ред. от 28.12.2024) &quot;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 июля 2021 г. N 1228, </w:t>
      </w:r>
      <w:hyperlink w:history="0" r:id="rId9" w:tooltip="Постановление Правительства РФ от 14.10.2023 N 1706 &quot;Об особенностях разработки, согласования, проведения экспертизы и утверждения административных регламентов предоставления государственных услуг в 2024 и 2025 годах, в том числе без использования федеральной государственной информационной системы, обеспечивающей ведение федерального реестра государственных услуг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постановления Правительства Российской Федерации от 14 октября 2023 г. N 1706 "Об особенностях разработки, согласования, проведения экспертизы и утверждения административных регламентов предоставления государственных услуг в 2024 и 2025 годах, в том числе без использования федеральной государственной информационной системы, обеспечивающей ведение федерального реестра государственных услуг"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прилагаемый Административный </w:t>
      </w:r>
      <w:hyperlink w:history="0" w:anchor="P35" w:tooltip="АДМИНИСТРАТИВНЫЙ РЕГЛАМЕНТ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Фонда пенсионного и социального страхования Российской Федерации по предоставлению государственной услуги "Информирование граждан об отнесении к категории граждан предпенсионного возраста".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не подлежащими применению:</w:t>
      </w:r>
    </w:p>
    <w:p>
      <w:pPr>
        <w:pStyle w:val="0"/>
        <w:spacing w:before="240" w:line-rule="auto"/>
        <w:ind w:firstLine="540"/>
        <w:jc w:val="both"/>
      </w:pPr>
      <w:hyperlink w:history="0" r:id="rId10" w:tooltip="Постановление Правления ПФ РФ от 04.04.2019 N 206п (ред. от 23.09.2020) &quot;Об утверждении Административного регламента предоставления Пенсионным фондом Российской Федерации государственной услуги по информированию граждан об отнесении к категории граждан предпенсионного возраста&quot; (Зарегистрировано в Минюсте России 02.07.2019 N 55107)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Правления Пенсионного фонда Российской Федерации от 4 апреля 2019 г. N 206п "Об утверждении Административного регламента предоставления Пенсионным фондом Российской Федерации государственной услуги по информированию граждан об отнесении к категории граждан предпенсионного возраста" (зарегистрировано Министерством юстиции Российской Федерации 2 июля 2019 г., регистрационный N 55107);</w:t>
      </w:r>
    </w:p>
    <w:p>
      <w:pPr>
        <w:pStyle w:val="0"/>
        <w:spacing w:before="240" w:line-rule="auto"/>
        <w:ind w:firstLine="540"/>
        <w:jc w:val="both"/>
      </w:pPr>
      <w:hyperlink w:history="0" r:id="rId11" w:tooltip="Постановление Правления ПФ РФ от 23.09.2020 N 703п (ред. от 20.02.2025) &quot;О внесении изменений в некоторые постановления Правления Пенсионного фонда Российской Федерации по вопросам, связанным с организацией предоставления государственных услуг&quot; (Зарегистрировано в Минюсте России 09.12.2020 N 61346) {КонсультантПлюс}">
        <w:r>
          <w:rPr>
            <w:sz w:val="24"/>
            <w:color w:val="0000ff"/>
          </w:rPr>
          <w:t xml:space="preserve">пункт 7</w:t>
        </w:r>
      </w:hyperlink>
      <w:r>
        <w:rPr>
          <w:sz w:val="24"/>
        </w:rPr>
        <w:t xml:space="preserve"> изменений, вносимых в административные регламенты, утвержденные постановлениями Правления Пенсионного фонда Российской Федерации, являющихся приложением к постановлению Правления Пенсионного фонда Российской Федерации от 23 сентября 2020 г. N 703п "О внесении изменений в некоторые постановления Правления Пенсионного фонда Российской Федерации по вопросам, связанным с организацией предоставления государственных услуг" (зарегистрировано Министерством юстиции Российской Федерации 9 декабря 2020 г., регистрационный N 61346).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</w:t>
      </w:r>
    </w:p>
    <w:p>
      <w:pPr>
        <w:pStyle w:val="0"/>
        <w:jc w:val="right"/>
      </w:pPr>
      <w:r>
        <w:rPr>
          <w:sz w:val="24"/>
        </w:rPr>
        <w:t xml:space="preserve">С.ЧИРКОВ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Фонда пенсионного</w:t>
      </w:r>
    </w:p>
    <w:p>
      <w:pPr>
        <w:pStyle w:val="0"/>
        <w:jc w:val="right"/>
      </w:pPr>
      <w:r>
        <w:rPr>
          <w:sz w:val="24"/>
        </w:rPr>
        <w:t xml:space="preserve">и социального страхования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27 декабря 2024 г. N 2683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5" w:name="P35"/>
    <w:bookmarkEnd w:id="35"/>
    <w:p>
      <w:pPr>
        <w:pStyle w:val="2"/>
        <w:jc w:val="center"/>
      </w:pPr>
      <w:r>
        <w:rPr>
          <w:sz w:val="24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ФОНДА ПЕНСИОННОГО И СОЦИАЛЬНОГО СТРАХОВАНИЯ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ПО ПРЕДОСТАВЛЕНИЮ ГОСУДАРСТВЕННОЙ УСЛУГИ</w:t>
      </w:r>
    </w:p>
    <w:p>
      <w:pPr>
        <w:pStyle w:val="2"/>
        <w:jc w:val="center"/>
      </w:pPr>
      <w:r>
        <w:rPr>
          <w:sz w:val="24"/>
        </w:rPr>
        <w:t xml:space="preserve">"ИНФОРМИРОВАНИЕ ГРАЖДАН ОБ ОТНЕСЕНИИ К КАТЕГОРИИ</w:t>
      </w:r>
    </w:p>
    <w:p>
      <w:pPr>
        <w:pStyle w:val="2"/>
        <w:jc w:val="center"/>
      </w:pPr>
      <w:r>
        <w:rPr>
          <w:sz w:val="24"/>
        </w:rPr>
        <w:t xml:space="preserve">ГРАЖДАН ПРЕДПЕНСИОННОГО ВОЗРАСТА"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положения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Административный регламент устанавливает порядок и стандарт предоставления государственной услуги "Информирование граждан об отнесении к категории граждан предпенсионного возраста" (далее - Услуга).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Услуга предоставляется гражданам предпенсионного возраста &lt;1&gt; (далее - заявители), указанным в </w:t>
      </w:r>
      <w:hyperlink w:history="0" w:anchor="P378" w:tooltip="Таблица 1. Круг заявителей в соответствии с вариантами предоставления Услуги">
        <w:r>
          <w:rPr>
            <w:sz w:val="24"/>
            <w:color w:val="0000ff"/>
          </w:rPr>
          <w:t xml:space="preserve">таблице 1 приложения N 1</w:t>
        </w:r>
      </w:hyperlink>
      <w:r>
        <w:rPr>
          <w:sz w:val="24"/>
        </w:rPr>
        <w:t xml:space="preserve"> к настоящему Административному регламенту. Заявитель может воспользоваться Услугой через своего законного или уполномоченного представителя.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12" w:tooltip="Федеральный закон от 03.10.2018 N 350-ФЗ (ред. от 29.10.2024) &quot;О внесении изменений в отдельные законодательные акты Российской Федерации по вопросам назначения и выплаты пенсий&quot; (с изм. и доп., вступ. в силу с 01.01.2025) {КонсультантПлюс}">
        <w:r>
          <w:rPr>
            <w:sz w:val="24"/>
            <w:color w:val="0000ff"/>
          </w:rPr>
          <w:t xml:space="preserve">Часть 12 статьи 10</w:t>
        </w:r>
      </w:hyperlink>
      <w:r>
        <w:rPr>
          <w:sz w:val="24"/>
        </w:rPr>
        <w:t xml:space="preserve"> Федерального закона от 3 октября 2018 г. N 350-ФЗ "О внесении изменений в отдельные законодательные акты Российской Федерации по вопросам назначения и выплаты пенсий".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Услуга должна быть предоставлена заявителю в соответствии с вариантом предоставления Услуги (далее - вариант).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Вариант определяется в соответствии с </w:t>
      </w:r>
      <w:hyperlink w:history="0" w:anchor="P390" w:tooltip="Таблица 2. Перечень общих признаков заявителей">
        <w:r>
          <w:rPr>
            <w:sz w:val="24"/>
            <w:color w:val="0000ff"/>
          </w:rPr>
          <w:t xml:space="preserve">таблицей 2 приложения N 1</w:t>
        </w:r>
      </w:hyperlink>
      <w:r>
        <w:rPr>
          <w:sz w:val="24"/>
        </w:rPr>
        <w:t xml:space="preserve"> к настоящему Административному регламенту исходя из общих признаков заявителя, а также из результата предоставления Услуги, за предоставлением которой обратился заявитель.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Признаки заявителя определяются в результате анкетирования, проводимого органом, предоставляющим Услугу (далее - профилирование) &lt;2&gt;, в соответствии с настоящим Административным регламентом.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13" w:tooltip="Постановление Правительства РФ от 20.07.2021 N 1228 (ред. от 28.12.2024) &quot;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&quot; {КонсультантПлюс}">
        <w:r>
          <w:rPr>
            <w:sz w:val="24"/>
            <w:color w:val="0000ff"/>
          </w:rPr>
          <w:t xml:space="preserve">Подпункт "в" пункта 10</w:t>
        </w:r>
      </w:hyperlink>
      <w:r>
        <w:rPr>
          <w:sz w:val="24"/>
        </w:rPr>
        <w:t xml:space="preserve">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 июля 2021 г. N 1228.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Стандарт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Наименование Услуги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6. Информирование граждан об отнесении к категории граждан предпенсионного возраста.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Наименование органа, предоставляющего Услугу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Услуга предоставляется Фондом пенсионного и социального страхования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Многофункциональные центры предоставления государственных и муниципальных услуг (далее - МФЦ), в которых осуществляется предоставление Услуги, могут принять решение об отказе в приеме запроса гражданина о предоставлении сведений об отнесении к категории граждан предпенсионного возраста (далее - запрос) и документов и (или) информации, необходимых для ее предоставления, в соответствии с </w:t>
      </w:r>
      <w:hyperlink w:history="0" w:anchor="P91" w:tooltip="14. Исчерпывающий перечень оснований для отказа в приеме документов, необходимых для предоставления Услуги, определяется для каждого варианта и приведен в их описании, содержащемся в разделе III Административного регламента.">
        <w:r>
          <w:rPr>
            <w:sz w:val="24"/>
            <w:color w:val="0000ff"/>
          </w:rPr>
          <w:t xml:space="preserve">пунктом 14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Результат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9. При обращении заявителя за Услугой результатом предоставления Услуги является документ, содержащий сведения об отнесении к категории граждан предпенсионного возраста (рекомендуемый образец приведен в </w:t>
      </w:r>
      <w:hyperlink w:history="0" w:anchor="P419" w:tooltip="Сведения">
        <w:r>
          <w:rPr>
            <w:sz w:val="24"/>
            <w:color w:val="0000ff"/>
          </w:rPr>
          <w:t xml:space="preserve">приложении N 2</w:t>
        </w:r>
      </w:hyperlink>
      <w:r>
        <w:rPr>
          <w:sz w:val="24"/>
        </w:rPr>
        <w:t xml:space="preserve"> к настоящему Административному регламенту).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Результат предоставления Услуги может быть получен в территориальном органе Фонда пенсионного и социального страхования Российской Федерации (далее - территориальный орган Фонда), в МФЦ, посредством федеральной государственной информационной системы "Единый портал государственных и муниципальных услуг (функций)" &lt;3&gt; (далее - Единый портал), посредством почтовой связи, по адресу электронной почты заявителя (его представителя).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14" w:tooltip="Постановление Правительства РФ от 24.10.2011 N 861 (ред. от 04.02.2025) &quot;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&quot; (вместе с &quot;Положением о федеральной государственной информационной системе &quot;Федеральный реестр государственных и муниципальных услуг (функций)&quot;, &quot;Правилами ведения федеральной государственной информационной системы &quot;Федеральный реестр государственных и муниципальных услу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федеральной государственной информационной системе "Единый портал государственных и муниципальных услуг (функций)", утвержденное постановлением Правительства Российской Федерации от 24 октября 2011 г. N 861.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Срок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11. Максимальный срок предоставления Услуги составляет 3 рабочих дня со дня регистрации в территориальном органе Фонда запроса и документов, необходимых для предоставления Услуги, поданных заявителем в территориальный орган Фонда, в том числе посредством почтовой связи, либо в МФЦ. При подаче заявителем запроса посредством Единого портала Услуга предоставляется в режиме реального времени &lt;4&gt; в день регистрации запроса и документов в Социальном фонде России в государственной информационной системе "Единая централизованная цифровая платформа в социальной сфере" &lt;5&gt;.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15" w:tooltip="Приказ СФР от 14.09.2023 N 1699 &quot;Об утверждении Порядка оформления электронного документа, содержащего сведения об отнесении гражданина к категории граждан предпенсионного возраста&quot; (Зарегистрировано в Минюсте России 16.10.2023 N 75585) {КонсультантПлюс}">
        <w:r>
          <w:rPr>
            <w:sz w:val="24"/>
            <w:color w:val="0000ff"/>
          </w:rPr>
          <w:t xml:space="preserve">Абзац второй пункта 7</w:t>
        </w:r>
      </w:hyperlink>
      <w:r>
        <w:rPr>
          <w:sz w:val="24"/>
        </w:rPr>
        <w:t xml:space="preserve"> Порядка оформления электронного документа, содержащего сведения об отнесении гражданина к категории граждан предпенсионного возраста, утвержденного приказом Фонда пенсионного и социального страхования Российской Федерации от 14 сентября 2023 г. N 1699 (зарегистрирован Министерством юстиции Российской Федерации 3 апреля 2024 г., регистрационный N 77763), далее - Порядок оформления электронного документа, содержащего сведения об отнесении гражданина к категории граждан предпенсионного возраста.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</w:t>
      </w:r>
      <w:hyperlink w:history="0" r:id="rId16" w:tooltip="Федеральный закон от 17.07.1999 N 178-ФЗ (ред. от 29.10.2024) &quot;О государственной социальной помощи&quot; {КонсультантПлюс}">
        <w:r>
          <w:rPr>
            <w:sz w:val="24"/>
            <w:color w:val="0000ff"/>
          </w:rPr>
          <w:t xml:space="preserve">Статья 6.12</w:t>
        </w:r>
      </w:hyperlink>
      <w:r>
        <w:rPr>
          <w:sz w:val="24"/>
        </w:rPr>
        <w:t xml:space="preserve"> Федерального закона от 17 июля 1999 г. N 178-ФЗ "О государственной социальной помощи".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Правовые основания 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12. Перечень нормативных правовых актов, регулирующих предоставление Услуги, информация о порядке досудебного (внесудебного) обжалования решений и действий (бездействия) территориального органа Фонда, а также должностных лиц, работников территориального органа Фонда размещены на официальном сайте Социального фонда России в информационно-телекоммуникационной сети "Интернет" (далее - сеть "Интернет"), а также на Едином портале.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Исчерпывающий перечень документов,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13. 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определяется для каждого варианта и приведен в их описании, содержащемся в </w:t>
      </w:r>
      <w:hyperlink w:history="0" w:anchor="P130" w:tooltip="III. Состав, последовательность и сроки выполнения">
        <w:r>
          <w:rPr>
            <w:sz w:val="24"/>
            <w:color w:val="0000ff"/>
          </w:rPr>
          <w:t xml:space="preserve">разделе III</w:t>
        </w:r>
      </w:hyperlink>
      <w:r>
        <w:rPr>
          <w:sz w:val="24"/>
        </w:rPr>
        <w:t xml:space="preserve"> Административного регламента.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Исчерпывающий перечень оснований для отказа в приеме</w:t>
      </w:r>
    </w:p>
    <w:p>
      <w:pPr>
        <w:pStyle w:val="2"/>
        <w:jc w:val="center"/>
      </w:pPr>
      <w:r>
        <w:rPr>
          <w:sz w:val="24"/>
        </w:rPr>
        <w:t xml:space="preserve">документов, необходимых 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bookmarkStart w:id="91" w:name="P91"/>
    <w:bookmarkEnd w:id="91"/>
    <w:p>
      <w:pPr>
        <w:pStyle w:val="0"/>
        <w:ind w:firstLine="540"/>
        <w:jc w:val="both"/>
      </w:pPr>
      <w:r>
        <w:rPr>
          <w:sz w:val="24"/>
        </w:rPr>
        <w:t xml:space="preserve">14. Исчерпывающий перечень оснований для отказа в приеме документов, необходимых для предоставления Услуги, определяется для каждого варианта и приведен в их описании, содержащемся в </w:t>
      </w:r>
      <w:hyperlink w:history="0" w:anchor="P130" w:tooltip="III. Состав, последовательность и сроки выполнения">
        <w:r>
          <w:rPr>
            <w:sz w:val="24"/>
            <w:color w:val="0000ff"/>
          </w:rPr>
          <w:t xml:space="preserve">разделе III</w:t>
        </w:r>
      </w:hyperlink>
      <w:r>
        <w:rPr>
          <w:sz w:val="24"/>
        </w:rPr>
        <w:t xml:space="preserve"> Административного регламента.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Исчерпывающий перечень оснований для приостановления</w:t>
      </w:r>
    </w:p>
    <w:p>
      <w:pPr>
        <w:pStyle w:val="2"/>
        <w:jc w:val="center"/>
      </w:pPr>
      <w:r>
        <w:rPr>
          <w:sz w:val="24"/>
        </w:rPr>
        <w:t xml:space="preserve">предоставления Услуги или отказа в предоставлении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15.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Основания для отказа в предоставлении Услуги законодательством Российской Федерации не предусмотрены.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Размер платы, взимаемой с заявителя при предоставлении</w:t>
      </w:r>
    </w:p>
    <w:p>
      <w:pPr>
        <w:pStyle w:val="2"/>
        <w:jc w:val="center"/>
      </w:pPr>
      <w:r>
        <w:rPr>
          <w:sz w:val="24"/>
        </w:rPr>
        <w:t xml:space="preserve">Услуги, и способы ее взимания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17. Взимание государственной пошлины или иной платы за предоставление Услуги законодательством Российской Федерации не предусмотрено.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Максимальный срок ожидания в очереди при подаче заявителем</w:t>
      </w:r>
    </w:p>
    <w:p>
      <w:pPr>
        <w:pStyle w:val="2"/>
        <w:jc w:val="center"/>
      </w:pPr>
      <w:r>
        <w:rPr>
          <w:sz w:val="24"/>
        </w:rPr>
        <w:t xml:space="preserve">запроса и при получении результата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18. Максимальный срок ожидания в очереди при подаче запроса составляет 15 минут.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Максимальный срок ожидания в очереди при получении результата предоставления Услуги составляет 15 минут.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Срок регистрации запроса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20. Запрос, поступивший в территориальный орган Фонда, регистрируется в день его поступления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Запрос, поступивший в территориальный орган Фонда посредством почтовой связи или из МФЦ, регистрируется не позднее рабочего дня, следующего за днем его поступления в территориальный орган Фонда.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Требования к помещениям, в которых предоставляется Услуга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21. Требования, которым должны соответствовать помещения, в которых предоставляется Услуга, в том числе зал ожидания, места для заполнения запросов, информационные стенды с образцами их заполнения и перечнем документов и (или) информации, необходимых для предоставления Услуги, а также требования к обеспечению доступности для инвалидов указанных объектов в соответствии с законодательством Российской Федерации о социальной защите инвалидов размещены на официальном сайте Социального фонда России в сети "Интернет", а также на Едином портале.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Показатели качества и доступности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22. Перечень показателей качества и доступности Услуги, в том числе сведения о доступности электронных форм документов, необходимых для предоставления Услуги, возможности подачи запроса и документов в электронной форме, своевременности предоставления Услуги (отсутствии нарушений сроков предоставления Услуги), предоставлении Услуги в соответствии с вариантом, удобстве информирования заявителя о ходе предоставления Услуги, а также получения результата предоставления Услуги, размещены на официальном сайте Социального фонда России в сети "Интернет", а также на Едином портале.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Иные требования к предоставлению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23. Перечень услуг, которые являются необходимыми и обязательными для предоставления Услуги, законодательством Российской Федерации не предусмотрен.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24. Информационные системы, используемые для предоставления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Единый портал;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государственная информационная система "Единая централизованная цифровая платформа в социальной сфере".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30" w:name="P130"/>
    <w:bookmarkEnd w:id="130"/>
    <w:p>
      <w:pPr>
        <w:pStyle w:val="2"/>
        <w:outlineLvl w:val="1"/>
        <w:jc w:val="center"/>
      </w:pPr>
      <w:r>
        <w:rPr>
          <w:sz w:val="24"/>
        </w:rPr>
        <w:t xml:space="preserve">III. Состав, последовательность и сроки выполнения</w:t>
      </w:r>
    </w:p>
    <w:p>
      <w:pPr>
        <w:pStyle w:val="2"/>
        <w:jc w:val="center"/>
      </w:pPr>
      <w:r>
        <w:rPr>
          <w:sz w:val="24"/>
        </w:rPr>
        <w:t xml:space="preserve">административных процедур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Перечень вариантов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25. При обращении заявителя с запросом Услуга предоставляется в соответствии со следующими вариантами: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1: заявитель, обратившийся лично;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2: заявитель, обратившийся через законного представителя;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3: заявитель, обратившийся через уполномоченного представителя.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Профилирование заявителя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26. Вариант определяется путем профилирования заявителя, в процессе которого устанавливаются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</w:t>
      </w:r>
      <w:hyperlink w:history="0" w:anchor="P378" w:tooltip="Таблица 1. Круг заявителей в соответствии с вариантами предоставления Услуги">
        <w:r>
          <w:rPr>
            <w:sz w:val="24"/>
            <w:color w:val="0000ff"/>
          </w:rPr>
          <w:t xml:space="preserve">таблице 2 приложения N 1</w:t>
        </w:r>
      </w:hyperlink>
      <w:r>
        <w:rPr>
          <w:sz w:val="24"/>
        </w:rPr>
        <w:t xml:space="preserve">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Профилирование осуществляется: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посредством Единого портала;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в МФЦ.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27. 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Административным регламентом, каждая из которых соответствует одному варианту.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Вариант 1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28. Результатом предоставления варианта Услуги является документ, содержащий сведения об отнесении к категории граждан предпенсионного возраста.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29.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запроса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30. Максимальный срок предоставления Услуги составляет 3 рабочих дня со дня регистрации в территориальном органе Фонда запроса и документов, необходимых для предоставления Услуги, поданных заявителем в территориальный орган Фонда, в том числе посредством почтовой связи, либо в МФЦ. При подаче заявителем запроса посредством Единого портала Услуга предоставляется в режиме реального времени в день регистрации запроса и документов в Социальном фонде России в государственной информационной системе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31. Межведомственное информационное взаимодействие в рамках настоящего варианта не осуществляется.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Прием запроса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32. Представление заявителем документов и запроса в соответствии с </w:t>
      </w:r>
      <w:hyperlink w:history="0" w:anchor="P472" w:tooltip="Запрос">
        <w:r>
          <w:rPr>
            <w:sz w:val="24"/>
            <w:color w:val="0000ff"/>
          </w:rPr>
          <w:t xml:space="preserve">формой</w:t>
        </w:r>
      </w:hyperlink>
      <w:r>
        <w:rPr>
          <w:sz w:val="24"/>
        </w:rPr>
        <w:t xml:space="preserve">, предусмотренной в приложении N 3 к настоящему Административному регламенту, осуществляется в территориальный орган Фонда, в МФЦ, посредством Единого портала,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33.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самостоятельно, - документы, удостоверяющие личность заявителя (в территориальный орган Фонда или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вид на жительство;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34. 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35. Способами установления личности заявителя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документ, удостоверяющий личность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МФЦ - документ, удостоверяющий личность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 подаче запроса посредством Единого портала -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&lt;6&gt;, электронная подпись заявителя в соответствии с Федеральным </w:t>
      </w:r>
      <w:hyperlink w:history="0" r:id="rId17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и </w:t>
      </w:r>
      <w:hyperlink w:history="0" r:id="rId18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</w:t>
      </w:r>
      <w:hyperlink w:history="0" r:id="rId19" w:tooltip="Постановление Правительства РФ от 28.11.2011 N 977 (ред. от 23.03.2024) &quot;О федеральной государственной информационной системе &quot;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&quot; (вместе с &quot;Требованиями к федеральной государственной информационной системе &quot;Единая система идентификации и аутентификации в инфраструктуре, обесп {КонсультантПлюс}">
        <w:r>
          <w:rPr>
            <w:sz w:val="24"/>
            <w:color w:val="0000ff"/>
          </w:rPr>
          <w:t xml:space="preserve">Пункт 5</w:t>
        </w:r>
      </w:hyperlink>
      <w:r>
        <w:rPr>
          <w:sz w:val="24"/>
        </w:rPr>
        <w:t xml:space="preserve"> постановления Правительства Российской Федерации от 28 ноября 2011 г. N 977 "О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и </w:t>
      </w:r>
      <w:hyperlink w:history="0" r:id="rId20" w:tooltip="Постановление Правительства РФ от 28.11.2011 N 977 (ред. от 23.03.2024) &quot;О федеральной государственной информационной системе &quot;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&quot; (вместе с &quot;Требованиями к федеральной государственной информационной системе &quot;Единая система идентификации и аутентификации в инфраструктуре, обесп {КонсультантПлюс}">
        <w:r>
          <w:rPr>
            <w:sz w:val="24"/>
            <w:color w:val="0000ff"/>
          </w:rPr>
          <w:t xml:space="preserve">пункт 5</w:t>
        </w:r>
      </w:hyperlink>
      <w:r>
        <w:rPr>
          <w:sz w:val="24"/>
        </w:rPr>
        <w:t xml:space="preserve"> требований к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утвержденных постановлением Правительства Российской Федерации от 28 ноября 2011 г. N 977.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36. Территориальный орган Фонда, МФЦ отказывают заявителю в приеме запроса и документов при наличии следующего основания - личность заявителя не установлена.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37. Услуга предусматривает возможность приема запроса и документов, необходимых для предоставления варианта Услуги, в территориальном органе Фонда, в МФЦ по выбору заявителя независимо от его места жительства или места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38. В приеме запроса участвуют территориальный орган Фонда, МФЦ, Социальный фонд России (в отношении запросов, поданных посредством Единого портала).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Запрос, поступивший в территориальный орган Фонда, регистрируется в день его поступления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Запрос, поступивший в территориальный орган Фонда посредством почтовой связи или из МФЦ, регистрируется не позднее рабочего дня, следующего за днем его поступления в территориальный орган Фонда.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39.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40. Основания для отказа в предоставлении Услуги законодательством Российской Федерации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41. Принятие решения о предоставлении Услуги осуществляется не позднее 1 рабочего дня, следующего за днем регистрации запроса в территориальном органе Фонда &lt;7&gt;. Принятие решения о предоставлении Услуги осуществляется в дату регистрации запроса в Социальном фонде России в государственной информационной системе "Единая централизованная цифровая платформа в социальной сфере" (для запросов, поданных посредством Единого портала).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&lt;7&gt; </w:t>
      </w:r>
      <w:hyperlink w:history="0" r:id="rId21" w:tooltip="Приказ СФР от 14.09.2023 N 1699 &quot;Об утверждении Порядка оформления электронного документа, содержащего сведения об отнесении гражданина к категории граждан предпенсионного возраста&quot; (Зарегистрировано в Минюсте России 16.10.2023 N 75585) {КонсультантПлюс}">
        <w:r>
          <w:rPr>
            <w:sz w:val="24"/>
            <w:color w:val="0000ff"/>
          </w:rPr>
          <w:t xml:space="preserve">Пункт 4</w:t>
        </w:r>
      </w:hyperlink>
      <w:r>
        <w:rPr>
          <w:sz w:val="24"/>
        </w:rPr>
        <w:t xml:space="preserve"> Порядка оформления электронного документа, содержащего сведения об отнесении гражданина к категории граждан предпенсионного возраста.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42. Результат предоставления Услуги может быть получен в территориальном органе Фонда, в МФЦ, посредством Единого портала, посредством почтовой связи, по адресу электронной почты заявителя (его представителя).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43. Предоставление результата Услуги в территориальном органе Фонда, в МФЦ, посредством почтовой связи, по адресу электронной почты заявителя (его представителя) осуществляется не позднее 2 рабочих дней со дня принятия решения о предоставлении Услуги. Предоставление результата Услуги посредством Единого портала осуществляется в режиме реального времени &lt;8&gt; в день регистрации запроса.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&lt;8&gt; </w:t>
      </w:r>
      <w:hyperlink w:history="0" r:id="rId22" w:tooltip="Приказ СФР от 14.09.2023 N 1699 &quot;Об утверждении Порядка оформления электронного документа, содержащего сведения об отнесении гражданина к категории граждан предпенсионного возраста&quot; (Зарегистрировано в Минюсте России 16.10.2023 N 75585) {КонсультантПлюс}">
        <w:r>
          <w:rPr>
            <w:sz w:val="24"/>
            <w:color w:val="0000ff"/>
          </w:rPr>
          <w:t xml:space="preserve">Абзац второй пункта 7</w:t>
        </w:r>
      </w:hyperlink>
      <w:r>
        <w:rPr>
          <w:sz w:val="24"/>
        </w:rPr>
        <w:t xml:space="preserve"> Порядка оформления электронного документа, содержащего сведения об отнесении гражданина к категории граждан предпенсионного возраста.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44. Результат предоставления Услуги может быть получен в территориальном органе Фонда, в МФЦ по выбору заявителя независимо от его места жительства или места пребывания.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Вариант 2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45. Результатом предоставления варианта Услуги является документ, содержащий сведения об отнесении к категории граждан предпенсионного возраста.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46.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запроса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47. Максимальный срок предоставления Услуги составляет 3 рабочих дня со дня регистрации в территориальном органе Фонда запроса и документов, необходимых для предоставления Услуги, поданных заявителем в территориальный орган Фонда, в том числе посредством почтовой связи, либо в МФЦ. При подаче заявителем запроса посредством Единого портала Услуга предоставляется в режиме реального времени в день регистрации запроса и документов в Социальном фонде России в государственной информационной системе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48. Межведомственное информационное взаимодействие в рамках настоящего варианта не осуществляется.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Прием запроса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49. Представление заявителем документов и запроса в соответствии с </w:t>
      </w:r>
      <w:hyperlink w:history="0" w:anchor="P472" w:tooltip="Запрос">
        <w:r>
          <w:rPr>
            <w:sz w:val="24"/>
            <w:color w:val="0000ff"/>
          </w:rPr>
          <w:t xml:space="preserve">формой</w:t>
        </w:r>
      </w:hyperlink>
      <w:r>
        <w:rPr>
          <w:sz w:val="24"/>
        </w:rPr>
        <w:t xml:space="preserve">, предусмотренной в приложении N 3 к настоящему Административному регламенту, осуществляется в территориальный орган Фонда, в МФЦ, посредством Единого портала,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50.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документы, удостоверяющие личность законного представителя заявителя (в территориальный орган Фонда или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документы, удостоверяющие личность заявителя (в территориальный орган Фонда или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вид на жительство;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51.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инициативе, - документы, удостоверяющие полномочия законного представителя заявителя (в территориальный орган Фонда или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акт органа опеки и попечительства о назначении опекуна (попечителя);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иной документ, удостоверяющий полномочия законного представителя заявителя.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52. Способами установления личности заявителя (представителя заявителя)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документ, удостоверяющий личность представителя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МФЦ - документ, удостоверяющий личность представителя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 подаче запроса посредством Единого портала -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электронная подпись представителя заявителя в соответствии с Федеральным </w:t>
      </w:r>
      <w:hyperlink w:history="0" r:id="rId23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и </w:t>
      </w:r>
      <w:hyperlink w:history="0" r:id="rId24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53. Территориальный орган Фонда, МФЦ отказывают заявителю в приеме запроса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личность законного представителя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личность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полномочия законного представителя заявителя не подтверждены.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54. Услуга предусматривает возможность приема запроса и документов, необходимых для предоставления варианта Услуги, в территориальном органе Фонда, в МФЦ по выбору заявителя независимо от его места жительства или места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55. В приеме запроса участвуют территориальный орган Фонда, МФЦ, Социальный фонд России (в отношении запросов, поданных посредством Единого портала).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Запрос, поступивший в территориальный орган Фонда, регистрируется в день его поступления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Запрос, поступивший в территориальный орган Фонда посредством почтовой связи или из МФЦ, регистрируется не позднее рабочего дня, следующего за днем его поступления в территориальный орган Фонда.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56.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57. Основания для отказа в предоставлении Услуги законодательством Российской Федерации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58. Принятие решения о предоставлении Услуги осуществляется не позднее 1 рабочего дня, следующего за днем регистрации запроса в территориальном органе Фонда. Принятие решения о предоставлении Услуги осуществляется в дату регистрации запроса в Социальном фонде России в государственной информационной системе "Единая централизованная цифровая платформа в социальной сфере" (для запросов, поданных посредством Единого портала).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59. Результат предоставления Услуги может быть получен в территориальном органе Фонда, в МФЦ, посредством Единого портала, посредством почтовой связи, по адресу электронной почты заявителя (его представителя).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60. Предоставление результата Услуги в территориальном органе Фонда, в МФЦ, посредством почтовой связи, по адресу электронной почты заявителя (его представителя) осуществляется не позднее 2 рабочих дней со дня принятия решения о предоставлении Услуги. Предоставление результата Услуги посредством Единого портала осуществляется в режиме реального времени в день регистрации запроса.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61. Результат предоставления Услуги может быть получен в территориальном органе Фонда, в МФЦ по выбору заявителя независимо от его места жительства или места пребывания.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Вариант 3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62. Результатом предоставления варианта Услуги является документ, содержащий сведения об отнесении к категории граждан предпенсионного возраста.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63.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запроса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64. Максимальный срок предоставления Услуги составляет 3 рабочих дня со дня регистрации в территориальном органе Фонда запроса и документов, необходимых для предоставления Услуги, поданных заявителем в территориальный орган Фонда, в том числе посредством почтовой связи, либо в МФЦ. При подаче заявителем запроса посредством Единого портала Услуга предоставляется в режиме реального времени в день регистрации запроса и документов в Социальном фонде России в государственной информационной системе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65. Межведомственное информационное взаимодействие в рамках настоящего варианта не осуществляется.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Прием запроса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66. Представление заявителем документов и запроса в соответствии с </w:t>
      </w:r>
      <w:hyperlink w:history="0" w:anchor="P472" w:tooltip="Запрос">
        <w:r>
          <w:rPr>
            <w:sz w:val="24"/>
            <w:color w:val="0000ff"/>
          </w:rPr>
          <w:t xml:space="preserve">формой</w:t>
        </w:r>
      </w:hyperlink>
      <w:r>
        <w:rPr>
          <w:sz w:val="24"/>
        </w:rPr>
        <w:t xml:space="preserve">, предусмотренной в приложении N 3 к настоящему Административному регламенту, осуществляется в территориальный орган Фонда, в МФЦ, посредством Единого портала,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67.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документы, удостоверяющие личность представителя заявителя (в территориальный орган Фонда или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документы, удостоверяющие личность заявителя (в случае представления представителем заявителя доверенности, оформленной в соответствии со </w:t>
      </w:r>
      <w:hyperlink w:history="0" r:id="rId25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статьей 185</w:t>
        </w:r>
      </w:hyperlink>
      <w:r>
        <w:rPr>
          <w:sz w:val="24"/>
        </w:rPr>
        <w:t xml:space="preserve"> Гражданского кодекса Российской Федерации; в территориальный орган Фонда или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вид на жительство;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документы, подтверждающие полномочия представителя заявителя (в территориальный орган Фонда или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доверенность, оформленная в соответствии со </w:t>
      </w:r>
      <w:hyperlink w:history="0" r:id="rId26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статьей 185</w:t>
        </w:r>
      </w:hyperlink>
      <w:r>
        <w:rPr>
          <w:sz w:val="24"/>
        </w:rPr>
        <w:t xml:space="preserve"> Гражданского кодекса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доверенность, оформленная в соответствии с </w:t>
      </w:r>
      <w:hyperlink w:history="0" r:id="rId27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пунктом 1 статьи 185.1</w:t>
        </w:r>
      </w:hyperlink>
      <w:r>
        <w:rPr>
          <w:sz w:val="24"/>
        </w:rPr>
        <w:t xml:space="preserve"> Гражданского кодекса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68. 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69. Способами установления личности заявителя (представителя заявителя)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документ, удостоверяющий личность представителя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МФЦ - документ, удостоверяющий личность представителя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 подаче запроса посредством Единого портала -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электронная подпись представителя заявителя в соответствии с Федеральным </w:t>
      </w:r>
      <w:hyperlink w:history="0" r:id="rId28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и </w:t>
      </w:r>
      <w:hyperlink w:history="0" r:id="rId29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70. Территориальный орган Фонда, МФЦ отказывают заявителю в приеме запроса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полномочия представителя заявителя не подтверждены;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личность представителя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личность заявителя не установлена.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71. Услуга предусматривает возможность приема запроса и документов, необходимых для предоставления варианта Услуги, в территориальном органе Фонда, в МФЦ по выбору заявителя независимо от его места жительства или места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72. В приеме запроса участвуют территориальный орган Фонда, МФЦ, Социальный фонд России (в отношении запросов, поданных посредством Единого портала).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Запрос, поступивший в территориальный орган Фонда, регистрируется в день его поступления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Запрос, поступивший в территориальный орган Фонда посредством почтовой связи или из МФЦ, регистрируется не позднее рабочего дня, следующего за днем его поступления в территориальный орган Фонда.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73.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74. Основания для отказа в предоставлении Услуги законодательством Российской Федерации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75. Принятие решения о предоставлении Услуги осуществляется не позднее 1 рабочего дня, следующего за днем регистрации запроса в территориальном органе Фонда. Принятие решения о предоставлении Услуги осуществляется в дату регистрации запроса в Социальном фонде России в государственной информационной системе "Единая централизованная цифровая платформа в социальной сфере" (для запросов, поданных посредством Единого портала).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4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76. Результат предоставления Услуги может быть получен в территориальном органе Фонда, в МФЦ, посредством Единого портала, посредством почтовой связи, по адресу электронной почты заявителя (его представителя).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77. Предоставление результата Услуги в территориальном органе Фонда, в МФЦ, посредством почтовой связи, по адресу электронной почты заявителя (его представителя) осуществляется не позднее 2 рабочих дней со дня принятия решения о предоставлении Услуги. Предоставление результата Услуги посредством Единого портала осуществляется в режиме реального времени в день регистрации запроса.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78. Результат предоставления Услуги может быть получен в территориальном органе Фонда, в МФЦ по выбору заявителя независимо от его места жительства или места пребывания.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IV. Формы контроля за исполнением</w:t>
      </w:r>
    </w:p>
    <w:p>
      <w:pPr>
        <w:pStyle w:val="2"/>
        <w:jc w:val="center"/>
      </w:pPr>
      <w:r>
        <w:rPr>
          <w:sz w:val="24"/>
        </w:rPr>
        <w:t xml:space="preserve">Административного регламента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Порядок осуществления текущего контроля за соблюдением</w:t>
      </w:r>
    </w:p>
    <w:p>
      <w:pPr>
        <w:pStyle w:val="2"/>
        <w:jc w:val="center"/>
      </w:pPr>
      <w:r>
        <w:rPr>
          <w:sz w:val="24"/>
        </w:rPr>
        <w:t xml:space="preserve">и исполнением ответственными должностными лицами положений</w:t>
      </w:r>
    </w:p>
    <w:p>
      <w:pPr>
        <w:pStyle w:val="2"/>
        <w:jc w:val="center"/>
      </w:pPr>
      <w:r>
        <w:rPr>
          <w:sz w:val="24"/>
        </w:rPr>
        <w:t xml:space="preserve">Административного регламента и иных нормативных правовых</w:t>
      </w:r>
    </w:p>
    <w:p>
      <w:pPr>
        <w:pStyle w:val="2"/>
        <w:jc w:val="center"/>
      </w:pPr>
      <w:r>
        <w:rPr>
          <w:sz w:val="24"/>
        </w:rPr>
        <w:t xml:space="preserve">актов, устанавливающих требования к предоставлению</w:t>
      </w:r>
    </w:p>
    <w:p>
      <w:pPr>
        <w:pStyle w:val="2"/>
        <w:jc w:val="center"/>
      </w:pPr>
      <w:r>
        <w:rPr>
          <w:sz w:val="24"/>
        </w:rPr>
        <w:t xml:space="preserve">Услуги, а также принятием ими решений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79. Текущий контроль за соблюдением и исполнением ответственными должностными лицами территориального органа Фонда настоящего Административного регламента, а также иных нормативных правовых актов, устанавливающих требования к предоставлению Услуги, а также принятием ими решений осуществляется руководителем (заместителем руководителя) территориального органа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80. Текущий контроль осуществляется посредством проведения плановых и внеплановых проверок полноты и качества предоставления Услуги, соблюдения и исполнения должностными лицами и работниками территориального органа Фонда положений законодательных и иных нормативных правовых актов Российской Федерации, настоящего Административного регламента.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Порядок и периодичность осуществления плановых</w:t>
      </w:r>
    </w:p>
    <w:p>
      <w:pPr>
        <w:pStyle w:val="2"/>
        <w:jc w:val="center"/>
      </w:pPr>
      <w:r>
        <w:rPr>
          <w:sz w:val="24"/>
        </w:rPr>
        <w:t xml:space="preserve">и внеплановых проверок полноты и качества предоставления</w:t>
      </w:r>
    </w:p>
    <w:p>
      <w:pPr>
        <w:pStyle w:val="2"/>
        <w:jc w:val="center"/>
      </w:pPr>
      <w:r>
        <w:rPr>
          <w:sz w:val="24"/>
        </w:rPr>
        <w:t xml:space="preserve">Услуги, в том числе порядок и формы контроля за полнотой</w:t>
      </w:r>
    </w:p>
    <w:p>
      <w:pPr>
        <w:pStyle w:val="2"/>
        <w:jc w:val="center"/>
      </w:pPr>
      <w:r>
        <w:rPr>
          <w:sz w:val="24"/>
        </w:rPr>
        <w:t xml:space="preserve">и качеством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81. Плановые проверки проводятся на основе ежегодно утверждаемого руководителем (заместителем руководителя) территориального органа Фонда, Социального фонда России плана, а внеплановые - на основании жалоб заявителей на решения и действия (бездействие) должностных лиц, ответственных за предоставление Услуги, и (или) по поручению руководителя (заместителя руководителя) территориального органа Фонда, Социального фонда России.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Ответственность должностных лиц органа, предоставляющего</w:t>
      </w:r>
    </w:p>
    <w:p>
      <w:pPr>
        <w:pStyle w:val="2"/>
        <w:jc w:val="center"/>
      </w:pPr>
      <w:r>
        <w:rPr>
          <w:sz w:val="24"/>
        </w:rPr>
        <w:t xml:space="preserve">Услугу, за решения и действия (бездействие), принимаемые</w:t>
      </w:r>
    </w:p>
    <w:p>
      <w:pPr>
        <w:pStyle w:val="2"/>
        <w:jc w:val="center"/>
      </w:pPr>
      <w:r>
        <w:rPr>
          <w:sz w:val="24"/>
        </w:rPr>
        <w:t xml:space="preserve">(осуществляемые) ими в ходе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82. Нарушившие требования настоящего Административного регламента должностные лица территориального органа Фонда несут ответственность в соответствии с законодательством Российской Федерации.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Положения, характеризующие требования к порядку и формам</w:t>
      </w:r>
    </w:p>
    <w:p>
      <w:pPr>
        <w:pStyle w:val="2"/>
        <w:jc w:val="center"/>
      </w:pPr>
      <w:r>
        <w:rPr>
          <w:sz w:val="24"/>
        </w:rPr>
        <w:t xml:space="preserve">контроля за предоставлением Услуги, в том числе со стороны</w:t>
      </w:r>
    </w:p>
    <w:p>
      <w:pPr>
        <w:pStyle w:val="2"/>
        <w:jc w:val="center"/>
      </w:pPr>
      <w:r>
        <w:rPr>
          <w:sz w:val="24"/>
        </w:rPr>
        <w:t xml:space="preserve">граждан, их объединений и организаций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83. 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V. Досудебный (внесудебный) порядок обжалования решений</w:t>
      </w:r>
    </w:p>
    <w:p>
      <w:pPr>
        <w:pStyle w:val="2"/>
        <w:jc w:val="center"/>
      </w:pPr>
      <w:r>
        <w:rPr>
          <w:sz w:val="24"/>
        </w:rPr>
        <w:t xml:space="preserve">и действий (бездействия) органа, предоставляющего Услугу,</w:t>
      </w:r>
    </w:p>
    <w:p>
      <w:pPr>
        <w:pStyle w:val="2"/>
        <w:jc w:val="center"/>
      </w:pPr>
      <w:r>
        <w:rPr>
          <w:sz w:val="24"/>
        </w:rPr>
        <w:t xml:space="preserve">МФЦ, а также их должностных лиц, государственных</w:t>
      </w:r>
    </w:p>
    <w:p>
      <w:pPr>
        <w:pStyle w:val="2"/>
        <w:jc w:val="center"/>
      </w:pPr>
      <w:r>
        <w:rPr>
          <w:sz w:val="24"/>
        </w:rPr>
        <w:t xml:space="preserve">или муниципальных служащих, работников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84. Информирование заявителей о порядке досудебного (внесудебного) обжалования заявителем решений и действий (бездействия) территориального органа Фонда осуществляется посредством размещения информации на Едином портале, в территориальном органе Фонда, МФЦ.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85. Жалобы заявителей в форме электронных документов направляются посредством Единого портала, посредством официального сайта Социального фонда России в сети "Интернет".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Жалобы в форме документов на бумажном носителе направляются в Социальный фонд России, территориальный орган Фонда посредством почтовой связи или передаются в территориальный орган Фонда.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 Фонда</w:t>
      </w:r>
    </w:p>
    <w:p>
      <w:pPr>
        <w:pStyle w:val="0"/>
        <w:jc w:val="right"/>
      </w:pPr>
      <w:r>
        <w:rPr>
          <w:sz w:val="24"/>
        </w:rPr>
        <w:t xml:space="preserve">пенсионного и социального страхования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 по предоставлению</w:t>
      </w:r>
    </w:p>
    <w:p>
      <w:pPr>
        <w:pStyle w:val="0"/>
        <w:jc w:val="right"/>
      </w:pPr>
      <w:r>
        <w:rPr>
          <w:sz w:val="24"/>
        </w:rPr>
        <w:t xml:space="preserve">государственной услуги "Информирование</w:t>
      </w:r>
    </w:p>
    <w:p>
      <w:pPr>
        <w:pStyle w:val="0"/>
        <w:jc w:val="right"/>
      </w:pPr>
      <w:r>
        <w:rPr>
          <w:sz w:val="24"/>
        </w:rPr>
        <w:t xml:space="preserve">граждан об отнесении к категории граждан</w:t>
      </w:r>
    </w:p>
    <w:p>
      <w:pPr>
        <w:pStyle w:val="0"/>
        <w:jc w:val="right"/>
      </w:pPr>
      <w:r>
        <w:rPr>
          <w:sz w:val="24"/>
        </w:rPr>
        <w:t xml:space="preserve">предпенсионного возраста"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ОБЩИХ ПРИЗНАКОВ ЗАЯВИТЕЛЕЙ, А ТАКЖЕ КОМБИНАЦИИ ЗНАЧЕНИЙ</w:t>
      </w:r>
    </w:p>
    <w:p>
      <w:pPr>
        <w:pStyle w:val="2"/>
        <w:jc w:val="center"/>
      </w:pPr>
      <w:r>
        <w:rPr>
          <w:sz w:val="24"/>
        </w:rPr>
        <w:t xml:space="preserve">ПРИЗНАКОВ, КАЖДАЯ ИЗ КОТОРЫХ СООТВЕТСТВУЕТ ОДНОМУ ВАРИАНТУ</w:t>
      </w:r>
    </w:p>
    <w:p>
      <w:pPr>
        <w:pStyle w:val="2"/>
        <w:jc w:val="center"/>
      </w:pPr>
      <w:r>
        <w:rPr>
          <w:sz w:val="24"/>
        </w:rPr>
        <w:t xml:space="preserve">ПРЕДОСТАВЛЕНИЯ УСЛУГИ</w:t>
      </w:r>
    </w:p>
    <w:p>
      <w:pPr>
        <w:pStyle w:val="0"/>
        <w:jc w:val="center"/>
      </w:pPr>
      <w:r>
        <w:rPr>
          <w:sz w:val="24"/>
        </w:rPr>
      </w:r>
    </w:p>
    <w:bookmarkStart w:id="378" w:name="P378"/>
    <w:bookmarkEnd w:id="378"/>
    <w:p>
      <w:pPr>
        <w:pStyle w:val="2"/>
        <w:outlineLvl w:val="2"/>
        <w:jc w:val="both"/>
      </w:pPr>
      <w:r>
        <w:rPr>
          <w:sz w:val="24"/>
        </w:rPr>
        <w:t xml:space="preserve">Таблица 1. Круг заявителей в соответствии с вариантами предоставления Услуги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128"/>
        <w:gridCol w:w="7897"/>
      </w:tblGrid>
      <w:tr>
        <w:tc>
          <w:tcPr>
            <w:tcW w:w="1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варианта</w:t>
            </w:r>
          </w:p>
        </w:tc>
        <w:tc>
          <w:tcPr>
            <w:tcW w:w="789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Комбинация значений признаков</w:t>
            </w:r>
          </w:p>
        </w:tc>
      </w:tr>
      <w:tr>
        <w:tc>
          <w:tcPr>
            <w:gridSpan w:val="2"/>
            <w:tcW w:w="9025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Результат предоставления услуги "Информирование граждан об отнесении к категории граждан предпенсионного возраста", за которым обращается заявитель</w:t>
            </w:r>
          </w:p>
        </w:tc>
      </w:tr>
      <w:tr>
        <w:tc>
          <w:tcPr>
            <w:tcW w:w="1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7897" w:type="dxa"/>
          </w:tcPr>
          <w:p>
            <w:pPr>
              <w:pStyle w:val="0"/>
            </w:pPr>
            <w:r>
              <w:rPr>
                <w:sz w:val="24"/>
              </w:rPr>
              <w:t xml:space="preserve">Заявитель, обратившийся лично</w:t>
            </w:r>
          </w:p>
        </w:tc>
      </w:tr>
      <w:tr>
        <w:tc>
          <w:tcPr>
            <w:tcW w:w="1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7897" w:type="dxa"/>
          </w:tcPr>
          <w:p>
            <w:pPr>
              <w:pStyle w:val="0"/>
            </w:pPr>
            <w:r>
              <w:rPr>
                <w:sz w:val="24"/>
              </w:rPr>
              <w:t xml:space="preserve">Заявитель, обратившийся через законного представителя</w:t>
            </w:r>
          </w:p>
        </w:tc>
      </w:tr>
      <w:tr>
        <w:tc>
          <w:tcPr>
            <w:tcW w:w="1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7897" w:type="dxa"/>
          </w:tcPr>
          <w:p>
            <w:pPr>
              <w:pStyle w:val="0"/>
            </w:pPr>
            <w:r>
              <w:rPr>
                <w:sz w:val="24"/>
              </w:rPr>
              <w:t xml:space="preserve">Заявитель, обратившийся через уполномоченного представителя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bookmarkStart w:id="390" w:name="P390"/>
    <w:bookmarkEnd w:id="390"/>
    <w:p>
      <w:pPr>
        <w:pStyle w:val="2"/>
        <w:outlineLvl w:val="2"/>
        <w:jc w:val="both"/>
      </w:pPr>
      <w:r>
        <w:rPr>
          <w:sz w:val="24"/>
        </w:rPr>
        <w:t xml:space="preserve">Таблица 2. Перечень общих признаков заявителей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45"/>
        <w:gridCol w:w="2715"/>
        <w:gridCol w:w="5385"/>
      </w:tblGrid>
      <w:tr>
        <w:tc>
          <w:tcPr>
            <w:tcW w:w="94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71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Признак заявителя</w:t>
            </w:r>
          </w:p>
        </w:tc>
        <w:tc>
          <w:tcPr>
            <w:tcW w:w="538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признака заявителя</w:t>
            </w:r>
          </w:p>
        </w:tc>
      </w:tr>
      <w:tr>
        <w:tc>
          <w:tcPr>
            <w:gridSpan w:val="3"/>
            <w:tcW w:w="9045" w:type="dxa"/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Результат предоставления услуги "Информирование граждан об отнесении к категории граждан предпенсионного возраста"</w:t>
            </w:r>
          </w:p>
        </w:tc>
      </w:tr>
      <w:tr>
        <w:tc>
          <w:tcPr>
            <w:tcW w:w="94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715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Категория заявителя</w:t>
            </w:r>
          </w:p>
        </w:tc>
        <w:tc>
          <w:tcPr>
            <w:tcW w:w="5385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Гражданин предпенсионного возраста</w:t>
            </w:r>
          </w:p>
        </w:tc>
      </w:tr>
      <w:tr>
        <w:tc>
          <w:tcPr>
            <w:tcW w:w="94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715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Заявитель обратился лично или через представителя?</w:t>
            </w:r>
          </w:p>
        </w:tc>
        <w:tc>
          <w:tcPr>
            <w:tcW w:w="5385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 Обратившийся лично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Обратившийся через законного представителя</w:t>
            </w:r>
          </w:p>
          <w:p>
            <w:pPr>
              <w:pStyle w:val="0"/>
            </w:pPr>
            <w:r>
              <w:rPr>
                <w:sz w:val="24"/>
              </w:rPr>
              <w:t xml:space="preserve">3. Обратившийся через уполномоченного представителя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 Фонда</w:t>
      </w:r>
    </w:p>
    <w:p>
      <w:pPr>
        <w:pStyle w:val="0"/>
        <w:jc w:val="right"/>
      </w:pPr>
      <w:r>
        <w:rPr>
          <w:sz w:val="24"/>
        </w:rPr>
        <w:t xml:space="preserve">пенсионного и социального страхования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 по предоставлению</w:t>
      </w:r>
    </w:p>
    <w:p>
      <w:pPr>
        <w:pStyle w:val="0"/>
        <w:jc w:val="right"/>
      </w:pPr>
      <w:r>
        <w:rPr>
          <w:sz w:val="24"/>
        </w:rPr>
        <w:t xml:space="preserve">государственной услуги "Информирование</w:t>
      </w:r>
    </w:p>
    <w:p>
      <w:pPr>
        <w:pStyle w:val="0"/>
        <w:jc w:val="right"/>
      </w:pPr>
      <w:r>
        <w:rPr>
          <w:sz w:val="24"/>
        </w:rPr>
        <w:t xml:space="preserve">граждан об отнесении к категории граждан</w:t>
      </w:r>
    </w:p>
    <w:p>
      <w:pPr>
        <w:pStyle w:val="0"/>
        <w:jc w:val="right"/>
      </w:pPr>
      <w:r>
        <w:rPr>
          <w:sz w:val="24"/>
        </w:rPr>
        <w:t xml:space="preserve">предпенсионного возраста"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right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37"/>
      </w:tblGrid>
      <w:tr>
        <w:tc>
          <w:tcPr>
            <w:tcW w:w="9037" w:type="dxa"/>
            <w:tcBorders>
              <w:top w:val="nil"/>
              <w:left w:val="nil"/>
              <w:bottom w:val="nil"/>
              <w:right w:val="nil"/>
            </w:tcBorders>
          </w:tcPr>
          <w:bookmarkStart w:id="419" w:name="P419"/>
          <w:bookmarkEnd w:id="419"/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об отнесении гражданина к категории граждан предпенсионного возраста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по состоянию на _____________________</w:t>
            </w:r>
          </w:p>
        </w:tc>
      </w:tr>
    </w:tbl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84"/>
        <w:gridCol w:w="511"/>
        <w:gridCol w:w="630"/>
        <w:gridCol w:w="931"/>
        <w:gridCol w:w="1651"/>
        <w:gridCol w:w="916"/>
        <w:gridCol w:w="285"/>
        <w:gridCol w:w="3529"/>
      </w:tblGrid>
      <w:tr>
        <w:tc>
          <w:tcPr>
            <w:gridSpan w:val="8"/>
            <w:tcW w:w="903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2"/>
              <w:ind w:firstLine="283"/>
              <w:jc w:val="both"/>
            </w:pPr>
            <w:r>
              <w:rPr>
                <w:sz w:val="24"/>
              </w:rPr>
              <w:t xml:space="preserve">Сведения о гражданине:</w:t>
            </w:r>
          </w:p>
        </w:tc>
      </w:tr>
      <w:tr>
        <w:tc>
          <w:tcPr>
            <w:gridSpan w:val="2"/>
            <w:tcW w:w="109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фамилия</w:t>
            </w:r>
          </w:p>
        </w:tc>
        <w:tc>
          <w:tcPr>
            <w:gridSpan w:val="6"/>
            <w:tcW w:w="794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58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имя</w:t>
            </w:r>
          </w:p>
        </w:tc>
        <w:tc>
          <w:tcPr>
            <w:gridSpan w:val="7"/>
            <w:tcW w:w="8453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265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отчество (при наличии)</w:t>
            </w:r>
          </w:p>
        </w:tc>
        <w:tc>
          <w:tcPr>
            <w:gridSpan w:val="4"/>
            <w:tcW w:w="6381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172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дата рождения</w:t>
            </w:r>
          </w:p>
        </w:tc>
        <w:tc>
          <w:tcPr>
            <w:gridSpan w:val="5"/>
            <w:tcW w:w="731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7"/>
            <w:tcW w:w="5508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страховой номер индивидуального лицевого счета</w:t>
            </w:r>
          </w:p>
        </w:tc>
        <w:tc>
          <w:tcPr>
            <w:tcW w:w="3529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5223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относится к категории предпенсионного возраста</w:t>
            </w:r>
          </w:p>
        </w:tc>
        <w:tc>
          <w:tcPr>
            <w:gridSpan w:val="2"/>
            <w:tcW w:w="381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8"/>
            <w:tcW w:w="903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8"/>
            <w:tcW w:w="903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(в соответствии со </w:t>
            </w:r>
            <w:hyperlink w:history="0" r:id="rId30" w:tooltip="&quot;Налоговый кодекс Российской Федерации (часть вторая)&quot; от 05.08.2000 N 117-ФЗ (ред. от 28.12.2024, с изм. от 21.01.2025) (с изм. и доп., вступ. в силу с 01.04.2025) {КонсультантПлюс}">
              <w:r>
                <w:rPr>
                  <w:sz w:val="24"/>
                  <w:color w:val="0000ff"/>
                </w:rPr>
                <w:t xml:space="preserve">статьями 391</w:t>
              </w:r>
            </w:hyperlink>
            <w:r>
              <w:rPr>
                <w:sz w:val="24"/>
              </w:rPr>
              <w:t xml:space="preserve"> и </w:t>
            </w:r>
            <w:hyperlink w:history="0" r:id="rId31" w:tooltip="&quot;Налоговый кодекс Российской Федерации (часть вторая)&quot; от 05.08.2000 N 117-ФЗ (ред. от 28.12.2024, с изм. от 21.01.2025) (с изм. и доп., вступ. в силу с 01.04.2025) {КонсультантПлюс}">
              <w:r>
                <w:rPr>
                  <w:sz w:val="24"/>
                  <w:color w:val="0000ff"/>
                </w:rPr>
                <w:t xml:space="preserve">407</w:t>
              </w:r>
            </w:hyperlink>
            <w:r>
              <w:rPr>
                <w:sz w:val="24"/>
              </w:rPr>
              <w:t xml:space="preserve"> части второй Налогового кодекса Российской Федерации; со </w:t>
            </w:r>
            <w:hyperlink w:history="0" r:id="rId32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      <w:r>
                <w:rPr>
                  <w:sz w:val="24"/>
                  <w:color w:val="0000ff"/>
                </w:rPr>
                <w:t xml:space="preserve">статьей 48</w:t>
              </w:r>
            </w:hyperlink>
            <w:r>
              <w:rPr>
                <w:sz w:val="24"/>
              </w:rPr>
              <w:t xml:space="preserve"> Федерального закона от 12 декабря 2023 г. N 565-ФЗ "О занятости населения в Российской Федерации"; со </w:t>
            </w:r>
            <w:hyperlink w:history="0" r:id="rId33" w:tooltip="&quot;Трудовой кодекс Российской Федерации&quot; от 30.12.2001 N 197-ФЗ (ред. от 28.12.2024) {КонсультантПлюс}">
              <w:r>
                <w:rPr>
                  <w:sz w:val="24"/>
                  <w:color w:val="0000ff"/>
                </w:rPr>
                <w:t xml:space="preserve">статьей 1851</w:t>
              </w:r>
            </w:hyperlink>
            <w:r>
              <w:rPr>
                <w:sz w:val="24"/>
              </w:rPr>
              <w:t xml:space="preserve"> Трудового кодекса Российской Федерации)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(делается отметка в соответствующем квадрате):</w:t>
            </w:r>
          </w:p>
        </w:tc>
      </w:tr>
      <w:tr>
        <w:tc>
          <w:tcPr>
            <w:gridSpan w:val="8"/>
            <w:tcW w:w="903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относится с "__" _______ 20__ г.</w:t>
            </w:r>
          </w:p>
        </w:tc>
      </w:tr>
      <w:tr>
        <w:tc>
          <w:tcPr>
            <w:gridSpan w:val="8"/>
            <w:tcW w:w="903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относится</w:t>
            </w:r>
          </w:p>
        </w:tc>
      </w:tr>
      <w:tr>
        <w:tc>
          <w:tcPr>
            <w:gridSpan w:val="5"/>
            <w:tcW w:w="4307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Сведения выданы для представления</w:t>
            </w:r>
          </w:p>
        </w:tc>
        <w:tc>
          <w:tcPr>
            <w:gridSpan w:val="3"/>
            <w:tcW w:w="473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8"/>
            <w:tcW w:w="903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8"/>
            <w:tcW w:w="903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(в Федеральную налоговую службу; иной федеральный орган исполнительной власти Российской Федерации; орган государственной власти субъекта Российской Федерации в области содействия занятости населения; иной орган исполнительной власти субъекта Российской Федерации; орган местного самоуправления; работодателю)</w:t>
            </w:r>
          </w:p>
        </w:tc>
      </w:tr>
      <w:tr>
        <w:tc>
          <w:tcPr>
            <w:gridSpan w:val="8"/>
            <w:tcW w:w="903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Информация представлена на основании сведений, имеющихся в распоряжении территориального органа Фонда пенсионного и социального страхования Российской Федерации.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478"/>
        <w:gridCol w:w="340"/>
        <w:gridCol w:w="1497"/>
        <w:gridCol w:w="340"/>
        <w:gridCol w:w="2360"/>
      </w:tblGrid>
      <w:tr>
        <w:tc>
          <w:tcPr>
            <w:tcW w:w="4478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Руководитель (заместитель руководителя) территориального органа Фонда</w:t>
            </w:r>
          </w:p>
        </w:tc>
        <w:tc>
          <w:tcPr>
            <w:tcW w:w="340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9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36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4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9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236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(при наличии)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3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 Фонда</w:t>
      </w:r>
    </w:p>
    <w:p>
      <w:pPr>
        <w:pStyle w:val="0"/>
        <w:jc w:val="right"/>
      </w:pPr>
      <w:r>
        <w:rPr>
          <w:sz w:val="24"/>
        </w:rPr>
        <w:t xml:space="preserve">пенсионного и социального страхования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 по предоставлению</w:t>
      </w:r>
    </w:p>
    <w:p>
      <w:pPr>
        <w:pStyle w:val="0"/>
        <w:jc w:val="right"/>
      </w:pPr>
      <w:r>
        <w:rPr>
          <w:sz w:val="24"/>
        </w:rPr>
        <w:t xml:space="preserve">государственной услуги "Информирование</w:t>
      </w:r>
    </w:p>
    <w:p>
      <w:pPr>
        <w:pStyle w:val="0"/>
        <w:jc w:val="right"/>
      </w:pPr>
      <w:r>
        <w:rPr>
          <w:sz w:val="24"/>
        </w:rPr>
        <w:t xml:space="preserve">граждан об отнесении к категории граждан</w:t>
      </w:r>
    </w:p>
    <w:p>
      <w:pPr>
        <w:pStyle w:val="0"/>
        <w:jc w:val="right"/>
      </w:pPr>
      <w:r>
        <w:rPr>
          <w:sz w:val="24"/>
        </w:rPr>
        <w:t xml:space="preserve">предпенсионного возраста"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ФОРМА к вариантам 1 - 3</w:t>
      </w:r>
    </w:p>
    <w:p>
      <w:pPr>
        <w:pStyle w:val="0"/>
        <w:jc w:val="right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55"/>
      </w:tblGrid>
      <w:tr>
        <w:tc>
          <w:tcPr>
            <w:tcW w:w="9055" w:type="dxa"/>
            <w:tcBorders>
              <w:top w:val="nil"/>
              <w:left w:val="nil"/>
              <w:bottom w:val="nil"/>
              <w:right w:val="nil"/>
            </w:tcBorders>
          </w:tcPr>
          <w:bookmarkStart w:id="472" w:name="P472"/>
          <w:bookmarkEnd w:id="472"/>
          <w:p>
            <w:pPr>
              <w:pStyle w:val="0"/>
              <w:jc w:val="center"/>
            </w:pPr>
            <w:r>
              <w:rPr>
                <w:sz w:val="24"/>
              </w:rPr>
              <w:t xml:space="preserve">Запрос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гражданина о предоставлении сведений об отнесении к категории граждан предпенсионного возраста</w:t>
            </w:r>
          </w:p>
        </w:tc>
      </w:tr>
    </w:tbl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34"/>
        <w:gridCol w:w="581"/>
        <w:gridCol w:w="131"/>
        <w:gridCol w:w="320"/>
        <w:gridCol w:w="1101"/>
        <w:gridCol w:w="1259"/>
        <w:gridCol w:w="416"/>
        <w:gridCol w:w="416"/>
        <w:gridCol w:w="932"/>
        <w:gridCol w:w="680"/>
        <w:gridCol w:w="679"/>
        <w:gridCol w:w="1896"/>
      </w:tblGrid>
      <w:tr>
        <w:tc>
          <w:tcPr>
            <w:gridSpan w:val="12"/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2"/>
              <w:ind w:firstLine="283"/>
              <w:jc w:val="both"/>
            </w:pPr>
            <w:r>
              <w:rPr>
                <w:sz w:val="24"/>
              </w:rPr>
              <w:t xml:space="preserve">Сведения о заявителе:</w:t>
            </w:r>
          </w:p>
        </w:tc>
      </w:tr>
      <w:tr>
        <w:tc>
          <w:tcPr>
            <w:gridSpan w:val="2"/>
            <w:tcW w:w="121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фамилия:</w:t>
            </w:r>
          </w:p>
        </w:tc>
        <w:tc>
          <w:tcPr>
            <w:gridSpan w:val="10"/>
            <w:tcW w:w="783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63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имя:</w:t>
            </w:r>
          </w:p>
        </w:tc>
        <w:tc>
          <w:tcPr>
            <w:gridSpan w:val="11"/>
            <w:tcW w:w="8411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2767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отчество (при наличии):</w:t>
            </w:r>
          </w:p>
        </w:tc>
        <w:tc>
          <w:tcPr>
            <w:gridSpan w:val="7"/>
            <w:tcW w:w="6278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12"/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дата рождения: __._____________.____ г.</w:t>
            </w:r>
          </w:p>
        </w:tc>
      </w:tr>
      <w:tr>
        <w:tc>
          <w:tcPr>
            <w:gridSpan w:val="10"/>
            <w:tcW w:w="647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страховой номер индивидуального лицевого счета (СНИЛС):</w:t>
            </w:r>
          </w:p>
        </w:tc>
        <w:tc>
          <w:tcPr>
            <w:gridSpan w:val="2"/>
            <w:tcW w:w="257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9"/>
            <w:tcW w:w="579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наименование документа, удостоверяющего личность:</w:t>
            </w:r>
          </w:p>
        </w:tc>
        <w:tc>
          <w:tcPr>
            <w:gridSpan w:val="3"/>
            <w:tcW w:w="325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166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серия, номер:</w:t>
            </w:r>
          </w:p>
        </w:tc>
        <w:tc>
          <w:tcPr>
            <w:gridSpan w:val="8"/>
            <w:tcW w:w="737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134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кем выдан:</w:t>
            </w:r>
          </w:p>
        </w:tc>
        <w:tc>
          <w:tcPr>
            <w:gridSpan w:val="9"/>
            <w:tcW w:w="769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166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дата выдачи:</w:t>
            </w:r>
          </w:p>
        </w:tc>
        <w:tc>
          <w:tcPr>
            <w:gridSpan w:val="8"/>
            <w:tcW w:w="7379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40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номер телефона (с указанием кода):</w:t>
            </w:r>
          </w:p>
        </w:tc>
        <w:tc>
          <w:tcPr>
            <w:gridSpan w:val="6"/>
            <w:tcW w:w="5019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12"/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12"/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2"/>
              <w:ind w:firstLine="283"/>
              <w:jc w:val="both"/>
            </w:pPr>
            <w:r>
              <w:rPr>
                <w:sz w:val="24"/>
              </w:rPr>
              <w:t xml:space="preserve">Сведения о представителе заявителя:</w:t>
            </w:r>
          </w:p>
        </w:tc>
      </w:tr>
      <w:tr>
        <w:tc>
          <w:tcPr>
            <w:gridSpan w:val="7"/>
            <w:tcW w:w="4442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фамилия, имя, отчество (при наличии):</w:t>
            </w:r>
          </w:p>
        </w:tc>
        <w:tc>
          <w:tcPr>
            <w:gridSpan w:val="5"/>
            <w:tcW w:w="4603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12"/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дата рождения: __._____________.____ г.</w:t>
            </w:r>
          </w:p>
        </w:tc>
      </w:tr>
      <w:tr>
        <w:tc>
          <w:tcPr>
            <w:gridSpan w:val="9"/>
            <w:tcW w:w="579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наименование документа, удостоверяющего личность:</w:t>
            </w:r>
          </w:p>
        </w:tc>
        <w:tc>
          <w:tcPr>
            <w:gridSpan w:val="3"/>
            <w:tcW w:w="3255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166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серия, номер:</w:t>
            </w:r>
          </w:p>
        </w:tc>
        <w:tc>
          <w:tcPr>
            <w:gridSpan w:val="8"/>
            <w:tcW w:w="7379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134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кем выдан:</w:t>
            </w:r>
          </w:p>
        </w:tc>
        <w:tc>
          <w:tcPr>
            <w:gridSpan w:val="9"/>
            <w:tcW w:w="7699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166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дата выдачи:</w:t>
            </w:r>
          </w:p>
        </w:tc>
        <w:tc>
          <w:tcPr>
            <w:gridSpan w:val="8"/>
            <w:tcW w:w="7379" w:type="dxa"/>
            <w:vAlign w:val="bottom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8"/>
            <w:tcW w:w="4858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наименование органа, выдавшего документ:</w:t>
            </w:r>
          </w:p>
        </w:tc>
        <w:tc>
          <w:tcPr>
            <w:gridSpan w:val="4"/>
            <w:tcW w:w="4187" w:type="dxa"/>
            <w:vAlign w:val="bottom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11"/>
            <w:tcW w:w="7149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документ, подтверждающий полномочия представителя заявителя:</w:t>
            </w:r>
          </w:p>
        </w:tc>
        <w:tc>
          <w:tcPr>
            <w:tcW w:w="1896" w:type="dxa"/>
            <w:vAlign w:val="bottom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12"/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реквизиты документа, подтверждающего полномочия представителя заявителя</w:t>
            </w:r>
          </w:p>
          <w:p>
            <w:pPr>
              <w:pStyle w:val="0"/>
            </w:pPr>
            <w:r>
              <w:rPr>
                <w:sz w:val="24"/>
              </w:rPr>
              <w:t xml:space="preserve">(номер и дата): ____________________________________________________________</w:t>
            </w:r>
          </w:p>
        </w:tc>
      </w:tr>
      <w:tr>
        <w:tc>
          <w:tcPr>
            <w:gridSpan w:val="6"/>
            <w:tcW w:w="40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номер телефона (с указанием кода):</w:t>
            </w:r>
          </w:p>
        </w:tc>
        <w:tc>
          <w:tcPr>
            <w:gridSpan w:val="6"/>
            <w:tcW w:w="5019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110"/>
        <w:gridCol w:w="2490"/>
        <w:gridCol w:w="989"/>
        <w:gridCol w:w="4471"/>
      </w:tblGrid>
      <w:tr>
        <w:tc>
          <w:tcPr>
            <w:gridSpan w:val="4"/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Прошу предоставить сведения об отнесении к категории граждан предпенсионного возраста.</w:t>
            </w:r>
          </w:p>
        </w:tc>
      </w:tr>
      <w:tr>
        <w:tc>
          <w:tcPr>
            <w:gridSpan w:val="4"/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Способ получения результата Услуги:</w:t>
            </w:r>
          </w:p>
        </w:tc>
      </w:tr>
      <w:tr>
        <w:tc>
          <w:tcPr>
            <w:gridSpan w:val="4"/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 территориальном органе Фонда</w:t>
            </w:r>
          </w:p>
        </w:tc>
      </w:tr>
      <w:tr>
        <w:tc>
          <w:tcPr>
            <w:gridSpan w:val="4"/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посредством Единого портала</w:t>
            </w:r>
          </w:p>
        </w:tc>
      </w:tr>
      <w:tr>
        <w:tc>
          <w:tcPr>
            <w:gridSpan w:val="4"/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 МФЦ (в случае подачи запроса через МФЦ)</w:t>
            </w:r>
          </w:p>
        </w:tc>
      </w:tr>
      <w:tr>
        <w:tc>
          <w:tcPr>
            <w:gridSpan w:val="3"/>
            <w:tcW w:w="4589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посредством почтовой связи по адресу</w:t>
            </w:r>
          </w:p>
        </w:tc>
        <w:tc>
          <w:tcPr>
            <w:tcW w:w="44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360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 адресу электронной почты</w:t>
            </w:r>
          </w:p>
        </w:tc>
        <w:tc>
          <w:tcPr>
            <w:gridSpan w:val="2"/>
            <w:tcW w:w="546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Дата подачи запроса и подпись заявителя (представителя заявителя):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дата: __._____________.____ г.</w:t>
            </w:r>
          </w:p>
        </w:tc>
      </w:tr>
      <w:tr>
        <w:tc>
          <w:tcPr>
            <w:tcW w:w="111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подпись:</w:t>
            </w:r>
          </w:p>
        </w:tc>
        <w:tc>
          <w:tcPr>
            <w:gridSpan w:val="3"/>
            <w:tcW w:w="795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СФР от 27.12.2024 N 2683</w:t>
            <w:br/>
            <w:t>"Об утверждении Административного регламента Фонда пенсионного и социального страхования...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79098&amp;date=04.04.2025&amp;dst=100352&amp;field=134&amp;demo=2" TargetMode = "External"/>
	<Relationship Id="rId8" Type="http://schemas.openxmlformats.org/officeDocument/2006/relationships/hyperlink" Target="https://login.consultant.ru/link/?req=doc&amp;base=LAW&amp;n=495208&amp;date=04.04.2025&amp;dst=100017&amp;field=134&amp;demo=2" TargetMode = "External"/>
	<Relationship Id="rId9" Type="http://schemas.openxmlformats.org/officeDocument/2006/relationships/hyperlink" Target="https://login.consultant.ru/link/?req=doc&amp;base=LAW&amp;n=459694&amp;date=04.04.2025&amp;dst=100006&amp;field=134&amp;demo=2" TargetMode = "External"/>
	<Relationship Id="rId10" Type="http://schemas.openxmlformats.org/officeDocument/2006/relationships/hyperlink" Target="https://login.consultant.ru/link/?req=doc&amp;base=LAW&amp;n=370628&amp;date=04.04.2025&amp;demo=2" TargetMode = "External"/>
	<Relationship Id="rId11" Type="http://schemas.openxmlformats.org/officeDocument/2006/relationships/hyperlink" Target="https://login.consultant.ru/link/?req=doc&amp;base=LAW&amp;n=501779&amp;date=04.04.2025&amp;dst=100028&amp;field=134&amp;demo=2" TargetMode = "External"/>
	<Relationship Id="rId12" Type="http://schemas.openxmlformats.org/officeDocument/2006/relationships/hyperlink" Target="https://login.consultant.ru/link/?req=doc&amp;base=LAW&amp;n=479098&amp;date=04.04.2025&amp;dst=100352&amp;field=134&amp;demo=2" TargetMode = "External"/>
	<Relationship Id="rId13" Type="http://schemas.openxmlformats.org/officeDocument/2006/relationships/hyperlink" Target="https://login.consultant.ru/link/?req=doc&amp;base=LAW&amp;n=495208&amp;date=04.04.2025&amp;dst=100042&amp;field=134&amp;demo=2" TargetMode = "External"/>
	<Relationship Id="rId14" Type="http://schemas.openxmlformats.org/officeDocument/2006/relationships/hyperlink" Target="https://login.consultant.ru/link/?req=doc&amp;base=LAW&amp;n=498004&amp;date=04.04.2025&amp;dst=100173&amp;field=134&amp;demo=2" TargetMode = "External"/>
	<Relationship Id="rId15" Type="http://schemas.openxmlformats.org/officeDocument/2006/relationships/hyperlink" Target="https://login.consultant.ru/link/?req=doc&amp;base=LAW&amp;n=459685&amp;date=04.04.2025&amp;dst=100036&amp;field=134&amp;demo=2" TargetMode = "External"/>
	<Relationship Id="rId16" Type="http://schemas.openxmlformats.org/officeDocument/2006/relationships/hyperlink" Target="https://login.consultant.ru/link/?req=doc&amp;base=LAW&amp;n=489351&amp;date=04.04.2025&amp;dst=374&amp;field=134&amp;demo=2" TargetMode = "External"/>
	<Relationship Id="rId17" Type="http://schemas.openxmlformats.org/officeDocument/2006/relationships/hyperlink" Target="https://login.consultant.ru/link/?req=doc&amp;base=LAW&amp;n=494998&amp;date=04.04.2025&amp;demo=2" TargetMode = "External"/>
	<Relationship Id="rId18" Type="http://schemas.openxmlformats.org/officeDocument/2006/relationships/hyperlink" Target="https://login.consultant.ru/link/?req=doc&amp;base=LAW&amp;n=442096&amp;date=04.04.2025&amp;demo=2" TargetMode = "External"/>
	<Relationship Id="rId19" Type="http://schemas.openxmlformats.org/officeDocument/2006/relationships/hyperlink" Target="https://login.consultant.ru/link/?req=doc&amp;base=LAW&amp;n=473079&amp;date=04.04.2025&amp;dst=100069&amp;field=134&amp;demo=2" TargetMode = "External"/>
	<Relationship Id="rId20" Type="http://schemas.openxmlformats.org/officeDocument/2006/relationships/hyperlink" Target="https://login.consultant.ru/link/?req=doc&amp;base=LAW&amp;n=473079&amp;date=04.04.2025&amp;dst=100031&amp;field=134&amp;demo=2" TargetMode = "External"/>
	<Relationship Id="rId21" Type="http://schemas.openxmlformats.org/officeDocument/2006/relationships/hyperlink" Target="https://login.consultant.ru/link/?req=doc&amp;base=LAW&amp;n=459685&amp;date=04.04.2025&amp;dst=100022&amp;field=134&amp;demo=2" TargetMode = "External"/>
	<Relationship Id="rId22" Type="http://schemas.openxmlformats.org/officeDocument/2006/relationships/hyperlink" Target="https://login.consultant.ru/link/?req=doc&amp;base=LAW&amp;n=459685&amp;date=04.04.2025&amp;dst=100036&amp;field=134&amp;demo=2" TargetMode = "External"/>
	<Relationship Id="rId23" Type="http://schemas.openxmlformats.org/officeDocument/2006/relationships/hyperlink" Target="https://login.consultant.ru/link/?req=doc&amp;base=LAW&amp;n=494998&amp;date=04.04.2025&amp;demo=2" TargetMode = "External"/>
	<Relationship Id="rId24" Type="http://schemas.openxmlformats.org/officeDocument/2006/relationships/hyperlink" Target="https://login.consultant.ru/link/?req=doc&amp;base=LAW&amp;n=442096&amp;date=04.04.2025&amp;demo=2" TargetMode = "External"/>
	<Relationship Id="rId25" Type="http://schemas.openxmlformats.org/officeDocument/2006/relationships/hyperlink" Target="https://login.consultant.ru/link/?req=doc&amp;base=LAW&amp;n=482692&amp;date=04.04.2025&amp;dst=465&amp;field=134&amp;demo=2" TargetMode = "External"/>
	<Relationship Id="rId26" Type="http://schemas.openxmlformats.org/officeDocument/2006/relationships/hyperlink" Target="https://login.consultant.ru/link/?req=doc&amp;base=LAW&amp;n=482692&amp;date=04.04.2025&amp;dst=465&amp;field=134&amp;demo=2" TargetMode = "External"/>
	<Relationship Id="rId27" Type="http://schemas.openxmlformats.org/officeDocument/2006/relationships/hyperlink" Target="https://login.consultant.ru/link/?req=doc&amp;base=LAW&amp;n=482692&amp;date=04.04.2025&amp;dst=101018&amp;field=134&amp;demo=2" TargetMode = "External"/>
	<Relationship Id="rId28" Type="http://schemas.openxmlformats.org/officeDocument/2006/relationships/hyperlink" Target="https://login.consultant.ru/link/?req=doc&amp;base=LAW&amp;n=494998&amp;date=04.04.2025&amp;demo=2" TargetMode = "External"/>
	<Relationship Id="rId29" Type="http://schemas.openxmlformats.org/officeDocument/2006/relationships/hyperlink" Target="https://login.consultant.ru/link/?req=doc&amp;base=LAW&amp;n=442096&amp;date=04.04.2025&amp;demo=2" TargetMode = "External"/>
	<Relationship Id="rId30" Type="http://schemas.openxmlformats.org/officeDocument/2006/relationships/hyperlink" Target="https://login.consultant.ru/link/?req=doc&amp;base=LAW&amp;n=475532&amp;date=04.04.2025&amp;dst=1365&amp;field=134&amp;demo=2" TargetMode = "External"/>
	<Relationship Id="rId31" Type="http://schemas.openxmlformats.org/officeDocument/2006/relationships/hyperlink" Target="https://login.consultant.ru/link/?req=doc&amp;base=LAW&amp;n=475532&amp;date=04.04.2025&amp;dst=10385&amp;field=134&amp;demo=2" TargetMode = "External"/>
	<Relationship Id="rId32" Type="http://schemas.openxmlformats.org/officeDocument/2006/relationships/hyperlink" Target="https://login.consultant.ru/link/?req=doc&amp;base=LAW&amp;n=482895&amp;date=04.04.2025&amp;dst=100547&amp;field=134&amp;demo=2" TargetMode = "External"/>
	<Relationship Id="rId33" Type="http://schemas.openxmlformats.org/officeDocument/2006/relationships/hyperlink" Target="https://login.consultant.ru/link/?req=doc&amp;base=LAW&amp;n=482885&amp;date=04.04.2025&amp;dst=2319&amp;field=134&amp;demo=2" TargetMode = "External"/>
	<Relationship Id="rId34" Type="http://schemas.openxmlformats.org/officeDocument/2006/relationships/image" Target="media/image2.wmf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СФР от 27.12.2024 N 2683
"Об утверждении Административного регламента Фонда пенсионного и социального страхования Российской Федерации по предоставлению государственной услуги "Информирование граждан об отнесении к категории граждан предпенсионного возраста"
(Зарегистрировано в Минюсте России 02.04.2025 N 81728)</dc:title>
  <dcterms:created xsi:type="dcterms:W3CDTF">2025-04-04T10:52:11Z</dcterms:created>
</cp:coreProperties>
</file>