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Генпрокуратуры России от 09.04.2025 N 264</w:t>
              <w:br/>
              <w:t xml:space="preserve">"Об утверждении в органах военной прокуратуры порядков выдачи справок и предоставления сведений, подтверждающих факт участия в специальной военной операции"</w:t>
              <w:br/>
              <w:t xml:space="preserve">(вместе с "Порядком выдачи в органах военной прокуратуры справок о подтверждении факта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участникам специальной военной операции и (или) членам их семей", "Порядком предоставления органами военной прокуратуры сведений об участии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с использованием единой системы межведомственного электронного взаимодействия")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14.04.2025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ГЕНЕРАЛЬНАЯ ПРОКУРАТУРА 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9 апреля 2025 г. N 264</w:t>
      </w:r>
    </w:p>
    <w:p>
      <w:pPr>
        <w:pStyle w:val="2"/>
        <w:jc w:val="both"/>
      </w:pPr>
      <w:r>
        <w:rPr>
          <w:sz w:val="24"/>
        </w:rPr>
      </w:r>
    </w:p>
    <w:p>
      <w:pPr>
        <w:pStyle w:val="2"/>
        <w:jc w:val="center"/>
      </w:pPr>
      <w:r>
        <w:rPr>
          <w:sz w:val="24"/>
        </w:rPr>
        <w:t xml:space="preserve">ОБ УТВЕРЖДЕНИИ В ОРГАНАХ ВОЕННОЙ ПРОКУРАТУРЫ ПОРЯДКОВ</w:t>
      </w:r>
    </w:p>
    <w:p>
      <w:pPr>
        <w:pStyle w:val="2"/>
        <w:jc w:val="center"/>
      </w:pPr>
      <w:r>
        <w:rPr>
          <w:sz w:val="24"/>
        </w:rPr>
        <w:t xml:space="preserve">ВЫДАЧИ СПРАВОК И ПРЕДОСТАВЛЕНИЯ СВЕДЕНИЙ, ПОДТВЕРЖДАЮЩИХ</w:t>
      </w:r>
    </w:p>
    <w:p>
      <w:pPr>
        <w:pStyle w:val="2"/>
        <w:jc w:val="center"/>
      </w:pPr>
      <w:r>
        <w:rPr>
          <w:sz w:val="24"/>
        </w:rPr>
        <w:t xml:space="preserve">ФАКТ УЧАСТИЯ В СПЕЦИАЛЬНОЙ ВОЕННОЙ ОПЕРАЦИИ</w:t>
      </w:r>
    </w:p>
    <w:p>
      <w:pPr>
        <w:pStyle w:val="0"/>
        <w:jc w:val="both"/>
      </w:pPr>
      <w:r>
        <w:rPr>
          <w:sz w:val="24"/>
        </w:rPr>
      </w:r>
    </w:p>
    <w:p>
      <w:pPr>
        <w:pStyle w:val="0"/>
        <w:ind w:firstLine="540"/>
        <w:jc w:val="both"/>
      </w:pPr>
      <w:r>
        <w:rPr>
          <w:sz w:val="24"/>
        </w:rPr>
        <w:t xml:space="preserve">В соответствии с </w:t>
      </w:r>
      <w:hyperlink w:history="0" r:id="rId7"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пунктами 2</w:t>
        </w:r>
      </w:hyperlink>
      <w:r>
        <w:rPr>
          <w:sz w:val="24"/>
        </w:rPr>
        <w:t xml:space="preserve"> и </w:t>
      </w:r>
      <w:hyperlink w:history="0" r:id="rId8"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3</w:t>
        </w:r>
      </w:hyperlink>
      <w:r>
        <w:rPr>
          <w:sz w:val="24"/>
        </w:rPr>
        <w:t xml:space="preserve"> постановления Правительства Российской Федерации от 9 октября 2024 г. N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руководствуясь </w:t>
      </w:r>
      <w:hyperlink w:history="0" r:id="rId9" w:tooltip="Федеральный закон от 17.01.1992 N 2202-1 (ред. от 30.09.2024) &quot;О прокуратуре Российской Федерации&quot; {КонсультантПлюс}">
        <w:r>
          <w:rPr>
            <w:sz w:val="24"/>
            <w:color w:val="0000ff"/>
          </w:rPr>
          <w:t xml:space="preserve">пунктом 1 статьи 17</w:t>
        </w:r>
      </w:hyperlink>
      <w:r>
        <w:rPr>
          <w:sz w:val="24"/>
        </w:rPr>
        <w:t xml:space="preserve"> Федерального закона "О прокуратуре Российской Федерации", приказываю:</w:t>
      </w:r>
    </w:p>
    <w:p>
      <w:pPr>
        <w:pStyle w:val="0"/>
        <w:spacing w:before="240" w:line-rule="auto"/>
        <w:ind w:firstLine="540"/>
        <w:jc w:val="both"/>
      </w:pPr>
      <w:r>
        <w:rPr>
          <w:sz w:val="24"/>
        </w:rPr>
        <w:t xml:space="preserve">1. Утвердить прилагаемые:</w:t>
      </w:r>
    </w:p>
    <w:p>
      <w:pPr>
        <w:pStyle w:val="0"/>
        <w:spacing w:before="240" w:line-rule="auto"/>
        <w:ind w:firstLine="540"/>
        <w:jc w:val="both"/>
      </w:pPr>
      <w:hyperlink w:history="0" w:anchor="P33" w:tooltip="ПОРЯДОК">
        <w:r>
          <w:rPr>
            <w:sz w:val="24"/>
            <w:color w:val="0000ff"/>
          </w:rPr>
          <w:t xml:space="preserve">Порядок</w:t>
        </w:r>
      </w:hyperlink>
      <w:r>
        <w:rPr>
          <w:sz w:val="24"/>
        </w:rPr>
        <w:t xml:space="preserve"> выдачи в органах военной прокуратуры справок о подтверждении факта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участникам специальной военной операции и (или) членам их семей (приложение N 1 к настоящему приказу);</w:t>
      </w:r>
    </w:p>
    <w:p>
      <w:pPr>
        <w:pStyle w:val="0"/>
        <w:spacing w:before="240" w:line-rule="auto"/>
        <w:ind w:firstLine="540"/>
        <w:jc w:val="both"/>
      </w:pPr>
      <w:hyperlink w:history="0" w:anchor="P314" w:tooltip="ПОРЯДОК">
        <w:r>
          <w:rPr>
            <w:sz w:val="24"/>
            <w:color w:val="0000ff"/>
          </w:rPr>
          <w:t xml:space="preserve">Порядок</w:t>
        </w:r>
      </w:hyperlink>
      <w:r>
        <w:rPr>
          <w:sz w:val="24"/>
        </w:rPr>
        <w:t xml:space="preserve"> предоставления органами военной прокуратуры сведений об участии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с использованием единой системы межведомственного электронного взаимодействия (приложение N 2 к настоящему приказу).</w:t>
      </w:r>
    </w:p>
    <w:p>
      <w:pPr>
        <w:pStyle w:val="0"/>
        <w:spacing w:before="240" w:line-rule="auto"/>
        <w:ind w:firstLine="540"/>
        <w:jc w:val="both"/>
      </w:pPr>
      <w:r>
        <w:rPr>
          <w:sz w:val="24"/>
        </w:rPr>
        <w:t xml:space="preserve">2. Приказ опубликовать в журнале "Законность" и разместить на официальном сайте Генеральной прокуратуры Российской Федерации в информационно-телекоммуникационной сети "Интернет".</w:t>
      </w:r>
    </w:p>
    <w:p>
      <w:pPr>
        <w:pStyle w:val="0"/>
        <w:spacing w:before="240" w:line-rule="auto"/>
        <w:ind w:firstLine="540"/>
        <w:jc w:val="both"/>
      </w:pPr>
      <w:r>
        <w:rPr>
          <w:sz w:val="24"/>
        </w:rPr>
        <w:t xml:space="preserve">3. Контроль за исполнением приказа возложить на заместителя Генерального прокурора Российской Федерации - Главного военного прокурора.</w:t>
      </w:r>
    </w:p>
    <w:p>
      <w:pPr>
        <w:pStyle w:val="0"/>
        <w:spacing w:before="240" w:line-rule="auto"/>
        <w:ind w:firstLine="540"/>
        <w:jc w:val="both"/>
      </w:pPr>
      <w:r>
        <w:rPr>
          <w:sz w:val="24"/>
        </w:rPr>
        <w:t xml:space="preserve">Приказ направить заместителям Генерального прокурора Российской Федерации, советникам Генерального прокурора Российской Федерации, старшим помощникам Генерального прокурора Российской Федерации по особым поручениям, помощникам заместителей Генерального прокурора Российской Федерации по особым поручениям, начальникам главных управлений, управлений и отделов Генеральной прокуратуры Российской Федерации, ректору Университета прокуратуры Российской Федерации, прокурорам субъектов Российской Федерации, приравненным к ним военным и иным специализированным прокурорам, прокурору комплекса "Байконур", которым довести его содержание до сведения подчиненных работников.</w:t>
      </w:r>
    </w:p>
    <w:p>
      <w:pPr>
        <w:pStyle w:val="0"/>
        <w:jc w:val="both"/>
      </w:pPr>
      <w:r>
        <w:rPr>
          <w:sz w:val="24"/>
        </w:rPr>
      </w:r>
    </w:p>
    <w:p>
      <w:pPr>
        <w:pStyle w:val="0"/>
        <w:jc w:val="right"/>
      </w:pPr>
      <w:r>
        <w:rPr>
          <w:sz w:val="24"/>
        </w:rPr>
        <w:t xml:space="preserve">Генеральный прокурор</w:t>
      </w:r>
    </w:p>
    <w:p>
      <w:pPr>
        <w:pStyle w:val="0"/>
        <w:jc w:val="right"/>
      </w:pPr>
      <w:r>
        <w:rPr>
          <w:sz w:val="24"/>
        </w:rPr>
        <w:t xml:space="preserve">Российской Федерации</w:t>
      </w:r>
    </w:p>
    <w:p>
      <w:pPr>
        <w:pStyle w:val="0"/>
        <w:jc w:val="right"/>
      </w:pPr>
      <w:r>
        <w:rPr>
          <w:sz w:val="24"/>
        </w:rPr>
        <w:t xml:space="preserve">действительный государственный</w:t>
      </w:r>
    </w:p>
    <w:p>
      <w:pPr>
        <w:pStyle w:val="0"/>
        <w:jc w:val="right"/>
      </w:pPr>
      <w:r>
        <w:rPr>
          <w:sz w:val="24"/>
        </w:rPr>
        <w:t xml:space="preserve">советник юстиции</w:t>
      </w:r>
    </w:p>
    <w:p>
      <w:pPr>
        <w:pStyle w:val="0"/>
        <w:jc w:val="right"/>
      </w:pPr>
      <w:r>
        <w:rPr>
          <w:sz w:val="24"/>
        </w:rPr>
        <w:t xml:space="preserve">И.В.КРАСНОВ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Генерального прокурора</w:t>
      </w:r>
    </w:p>
    <w:p>
      <w:pPr>
        <w:pStyle w:val="0"/>
        <w:jc w:val="right"/>
      </w:pPr>
      <w:r>
        <w:rPr>
          <w:sz w:val="24"/>
        </w:rPr>
        <w:t xml:space="preserve">Российской Федерации</w:t>
      </w:r>
    </w:p>
    <w:p>
      <w:pPr>
        <w:pStyle w:val="0"/>
        <w:jc w:val="right"/>
      </w:pPr>
      <w:r>
        <w:rPr>
          <w:sz w:val="24"/>
        </w:rPr>
        <w:t xml:space="preserve">от 09.04.2025 N 264</w:t>
      </w:r>
    </w:p>
    <w:p>
      <w:pPr>
        <w:pStyle w:val="0"/>
        <w:jc w:val="both"/>
      </w:pPr>
      <w:r>
        <w:rPr>
          <w:sz w:val="24"/>
        </w:rPr>
      </w:r>
    </w:p>
    <w:bookmarkStart w:id="33" w:name="P33"/>
    <w:bookmarkEnd w:id="33"/>
    <w:p>
      <w:pPr>
        <w:pStyle w:val="2"/>
        <w:jc w:val="center"/>
      </w:pPr>
      <w:r>
        <w:rPr>
          <w:sz w:val="24"/>
        </w:rPr>
        <w:t xml:space="preserve">ПОРЯДОК</w:t>
      </w:r>
    </w:p>
    <w:p>
      <w:pPr>
        <w:pStyle w:val="2"/>
        <w:jc w:val="center"/>
      </w:pPr>
      <w:r>
        <w:rPr>
          <w:sz w:val="24"/>
        </w:rPr>
        <w:t xml:space="preserve">ВЫДАЧИ В ОРГАНАХ ВОЕННОЙ ПРОКУРАТУРЫ СПРАВОК О ПОДТВЕРЖДЕНИИ</w:t>
      </w:r>
    </w:p>
    <w:p>
      <w:pPr>
        <w:pStyle w:val="2"/>
        <w:jc w:val="center"/>
      </w:pPr>
      <w:r>
        <w:rPr>
          <w:sz w:val="24"/>
        </w:rPr>
        <w:t xml:space="preserve">ФАКТА УЧАСТИЯ В СПЕЦИАЛЬНОЙ ВОЕННОЙ ОПЕРАЦИИ НА ТЕРРИТОРИЯХ</w:t>
      </w:r>
    </w:p>
    <w:p>
      <w:pPr>
        <w:pStyle w:val="2"/>
        <w:jc w:val="center"/>
      </w:pPr>
      <w:r>
        <w:rPr>
          <w:sz w:val="24"/>
        </w:rPr>
        <w:t xml:space="preserve">УКРАИНЫ, ДОНЕЦКОЙ НАРОДНОЙ РЕСПУБЛИКИ, ЛУГАНСКОЙ НАРОДНОЙ</w:t>
      </w:r>
    </w:p>
    <w:p>
      <w:pPr>
        <w:pStyle w:val="2"/>
        <w:jc w:val="center"/>
      </w:pPr>
      <w:r>
        <w:rPr>
          <w:sz w:val="24"/>
        </w:rPr>
        <w:t xml:space="preserve">РЕСПУБЛИКИ, ЗАПОРОЖСКОЙ ОБЛАСТИ И ХЕРСОНСКОЙ ОБЛАСТИ</w:t>
      </w:r>
    </w:p>
    <w:p>
      <w:pPr>
        <w:pStyle w:val="2"/>
        <w:jc w:val="center"/>
      </w:pPr>
      <w:r>
        <w:rPr>
          <w:sz w:val="24"/>
        </w:rPr>
        <w:t xml:space="preserve">УЧАСТНИКАМ СПЕЦИАЛЬНОЙ ВОЕННОЙ ОПЕРАЦИИ</w:t>
      </w:r>
    </w:p>
    <w:p>
      <w:pPr>
        <w:pStyle w:val="2"/>
        <w:jc w:val="center"/>
      </w:pPr>
      <w:r>
        <w:rPr>
          <w:sz w:val="24"/>
        </w:rPr>
        <w:t xml:space="preserve">И (ИЛИ) ЧЛЕНАМ ИХ СЕМЕЙ</w:t>
      </w:r>
    </w:p>
    <w:p>
      <w:pPr>
        <w:pStyle w:val="0"/>
        <w:jc w:val="both"/>
      </w:pPr>
      <w:r>
        <w:rPr>
          <w:sz w:val="24"/>
        </w:rPr>
      </w:r>
    </w:p>
    <w:p>
      <w:pPr>
        <w:pStyle w:val="0"/>
        <w:ind w:firstLine="540"/>
        <w:jc w:val="both"/>
      </w:pPr>
      <w:r>
        <w:rPr>
          <w:sz w:val="24"/>
        </w:rPr>
        <w:t xml:space="preserve">1. Настоящий Порядок определяет правила выдачи в органах военной прокуратуры справок, подтверждающих факт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соответственно - справка, специальная военная операция), участникам специальной военной операции и членам их семей в соответствии с </w:t>
      </w:r>
      <w:hyperlink w:history="0" r:id="rId10"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постановлением</w:t>
        </w:r>
      </w:hyperlink>
      <w:r>
        <w:rPr>
          <w:sz w:val="24"/>
        </w:rPr>
        <w:t xml:space="preserve"> Правительства Российской Федерации от 9 октября 2024 г. N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Постановление).</w:t>
      </w:r>
    </w:p>
    <w:p>
      <w:pPr>
        <w:pStyle w:val="0"/>
        <w:spacing w:before="240" w:line-rule="auto"/>
        <w:ind w:firstLine="540"/>
        <w:jc w:val="both"/>
      </w:pPr>
      <w:r>
        <w:rPr>
          <w:sz w:val="24"/>
        </w:rPr>
        <w:t xml:space="preserve">2. Справки выдаются:</w:t>
      </w:r>
    </w:p>
    <w:p>
      <w:pPr>
        <w:pStyle w:val="0"/>
        <w:spacing w:before="240" w:line-rule="auto"/>
        <w:ind w:firstLine="540"/>
        <w:jc w:val="both"/>
      </w:pPr>
      <w:r>
        <w:rPr>
          <w:sz w:val="24"/>
        </w:rPr>
        <w:t xml:space="preserve">2.1. Военнослужащим, гражданским лицам, назначенным на воинские должности военных прокуроров, федеральным государственным гражданским служащим и работникам, замещающим должности, не являющиеся должностями федеральной государственной гражданской службы (далее - участники):</w:t>
      </w:r>
    </w:p>
    <w:p>
      <w:pPr>
        <w:pStyle w:val="0"/>
        <w:spacing w:before="240" w:line-rule="auto"/>
        <w:ind w:firstLine="540"/>
        <w:jc w:val="both"/>
      </w:pPr>
      <w:r>
        <w:rPr>
          <w:sz w:val="24"/>
        </w:rPr>
        <w:t xml:space="preserve">а) проходящим (проходившим) военную службу (службу), осуществляющим (осуществлявшим) трудовую деятельность в военных прокуратурах, в том числе сформированных по временным штатно-должностным расчетам, дислоцированных на территории проведения специальной военной операции;</w:t>
      </w:r>
    </w:p>
    <w:p>
      <w:pPr>
        <w:pStyle w:val="0"/>
        <w:spacing w:before="240" w:line-rule="auto"/>
        <w:ind w:firstLine="540"/>
        <w:jc w:val="both"/>
      </w:pPr>
      <w:r>
        <w:rPr>
          <w:sz w:val="24"/>
        </w:rPr>
        <w:t xml:space="preserve">б) командированным (командировавшимся) на основании решений Генерального прокурора Российской Федерации, заместителя Генерального прокурора Российской Федерации - Главного военного прокурора и нижестоящих военных прокуроров в военные прокуратуры, дислоцированные на территории проведения специальной военной операции, а также воинские части и организации Вооруженных Сил Российской Федерации, других войск, воинских формирований и органов, в которых федеральным законом предусмотрена военная служба, принимающие участие в специальной военной операции;</w:t>
      </w:r>
    </w:p>
    <w:bookmarkStart w:id="46" w:name="P46"/>
    <w:bookmarkEnd w:id="46"/>
    <w:p>
      <w:pPr>
        <w:pStyle w:val="0"/>
        <w:spacing w:before="240" w:line-rule="auto"/>
        <w:ind w:firstLine="540"/>
        <w:jc w:val="both"/>
      </w:pPr>
      <w:r>
        <w:rPr>
          <w:sz w:val="24"/>
        </w:rPr>
        <w:t xml:space="preserve">2.2. Членам семей участников - детям, супругам, родителям, лицам, признанным фактически воспитывавшими и содержавшими участников, лицам, находящимся (находившимся) на иждивении участников, а также полнородным и неполнородным братьям и сестрам в случае гибели участника и отсутствия иных членов семьи.</w:t>
      </w:r>
    </w:p>
    <w:p>
      <w:pPr>
        <w:pStyle w:val="0"/>
        <w:spacing w:before="240" w:line-rule="auto"/>
        <w:ind w:firstLine="540"/>
        <w:jc w:val="both"/>
      </w:pPr>
      <w:r>
        <w:rPr>
          <w:sz w:val="24"/>
        </w:rPr>
        <w:t xml:space="preserve">За получением справки от имени участника или члена семьи участника вправе обратиться законный представитель (родитель, опекун, попечитель) или представитель по доверенности, выданной в соответствии с законодательством Российской Федерации.</w:t>
      </w:r>
    </w:p>
    <w:p>
      <w:pPr>
        <w:pStyle w:val="0"/>
        <w:spacing w:before="240" w:line-rule="auto"/>
        <w:ind w:firstLine="540"/>
        <w:jc w:val="both"/>
      </w:pPr>
      <w:r>
        <w:rPr>
          <w:sz w:val="24"/>
        </w:rPr>
        <w:t xml:space="preserve">3. Справки оформляются управлением кадров Главной военной прокуратуры, отделами организационно-мобилизационными и кадров (старшими помощниками военных прокуроров, ответственными за работу с кадрами) военных прокуратур военных округов, флотов, Ракетных войск стратегического назначения, Объединенной группировки войск (сил), Московской городской военной прокуратуры (далее - кадровые подразделения, военные прокуратуры окружного звена).</w:t>
      </w:r>
    </w:p>
    <w:p>
      <w:pPr>
        <w:pStyle w:val="0"/>
        <w:spacing w:before="240" w:line-rule="auto"/>
        <w:ind w:firstLine="540"/>
        <w:jc w:val="both"/>
      </w:pPr>
      <w:r>
        <w:rPr>
          <w:sz w:val="24"/>
        </w:rPr>
        <w:t xml:space="preserve">4. Для получения справки участники, члены их семей (далее - заявители) или их представители подают рапорт (заявление), рекомендуемые образцы которых приведены в </w:t>
      </w:r>
      <w:hyperlink w:history="0" w:anchor="P127" w:tooltip="РАПОРТ (ЗАЯВЛЕНИЕ)">
        <w:r>
          <w:rPr>
            <w:sz w:val="24"/>
            <w:color w:val="0000ff"/>
          </w:rPr>
          <w:t xml:space="preserve">приложениях N 1</w:t>
        </w:r>
      </w:hyperlink>
      <w:r>
        <w:rPr>
          <w:sz w:val="24"/>
        </w:rPr>
        <w:t xml:space="preserve"> и </w:t>
      </w:r>
      <w:hyperlink w:history="0" w:anchor="P207" w:tooltip="ЗАЯВЛЕНИЕ">
        <w:r>
          <w:rPr>
            <w:sz w:val="24"/>
            <w:color w:val="0000ff"/>
          </w:rPr>
          <w:t xml:space="preserve">2</w:t>
        </w:r>
      </w:hyperlink>
      <w:r>
        <w:rPr>
          <w:sz w:val="24"/>
        </w:rPr>
        <w:t xml:space="preserve"> к настоящему Порядку, непосредственно в кадровое подразделение по месту службы, работы (по последнему месту службы, работы) участника или по месту жительства (месту пребывания) либо фактического проживания участника и (или) членов его семьи.</w:t>
      </w:r>
    </w:p>
    <w:p>
      <w:pPr>
        <w:pStyle w:val="0"/>
        <w:spacing w:before="240" w:line-rule="auto"/>
        <w:ind w:firstLine="540"/>
        <w:jc w:val="both"/>
      </w:pPr>
      <w:r>
        <w:rPr>
          <w:sz w:val="24"/>
        </w:rPr>
        <w:t xml:space="preserve">5. К рапорту (заявлению) прилагаются:</w:t>
      </w:r>
    </w:p>
    <w:p>
      <w:pPr>
        <w:pStyle w:val="0"/>
        <w:spacing w:before="240" w:line-rule="auto"/>
        <w:ind w:firstLine="540"/>
        <w:jc w:val="both"/>
      </w:pPr>
      <w:r>
        <w:rPr>
          <w:sz w:val="24"/>
        </w:rPr>
        <w:t xml:space="preserve">копия документа, удостоверяющего личность заявителя (представителя заявителя - в случае подачи рапорта (заявления) через представителя (представителем);</w:t>
      </w:r>
    </w:p>
    <w:p>
      <w:pPr>
        <w:pStyle w:val="0"/>
        <w:spacing w:before="240" w:line-rule="auto"/>
        <w:ind w:firstLine="540"/>
        <w:jc w:val="both"/>
      </w:pPr>
      <w:r>
        <w:rPr>
          <w:sz w:val="24"/>
        </w:rPr>
        <w:t xml:space="preserve">согласие на обработку персональных данных (рекомендуемый образец приведен в </w:t>
      </w:r>
      <w:hyperlink w:history="0" w:anchor="P264" w:tooltip="СОГЛАСИЕ">
        <w:r>
          <w:rPr>
            <w:sz w:val="24"/>
            <w:color w:val="0000ff"/>
          </w:rPr>
          <w:t xml:space="preserve">приложении N 3</w:t>
        </w:r>
      </w:hyperlink>
      <w:r>
        <w:rPr>
          <w:sz w:val="24"/>
        </w:rPr>
        <w:t xml:space="preserve"> к настоящему Порядку).</w:t>
      </w:r>
    </w:p>
    <w:p>
      <w:pPr>
        <w:pStyle w:val="0"/>
        <w:spacing w:before="240" w:line-rule="auto"/>
        <w:ind w:firstLine="540"/>
        <w:jc w:val="both"/>
      </w:pPr>
      <w:r>
        <w:rPr>
          <w:sz w:val="24"/>
        </w:rPr>
        <w:t xml:space="preserve">5.1. К заявлению члена семьи участника дополнительно прилагаются:</w:t>
      </w:r>
    </w:p>
    <w:p>
      <w:pPr>
        <w:pStyle w:val="0"/>
        <w:spacing w:before="240" w:line-rule="auto"/>
        <w:ind w:firstLine="540"/>
        <w:jc w:val="both"/>
      </w:pPr>
      <w:r>
        <w:rPr>
          <w:sz w:val="24"/>
        </w:rPr>
        <w:t xml:space="preserve">копии свидетельств о рождении детей. В случае если дети усыновлены (удочерены), - копии свидетельств об усыновлении (удочерении) или решений суда об усыновлении (удочерении);</w:t>
      </w:r>
    </w:p>
    <w:p>
      <w:pPr>
        <w:pStyle w:val="0"/>
        <w:spacing w:before="240" w:line-rule="auto"/>
        <w:ind w:firstLine="540"/>
        <w:jc w:val="both"/>
      </w:pPr>
      <w:r>
        <w:rPr>
          <w:sz w:val="24"/>
        </w:rPr>
        <w:t xml:space="preserve">копия свидетельства о заключении брака с участником;</w:t>
      </w:r>
    </w:p>
    <w:p>
      <w:pPr>
        <w:pStyle w:val="0"/>
        <w:spacing w:before="240" w:line-rule="auto"/>
        <w:ind w:firstLine="540"/>
        <w:jc w:val="both"/>
      </w:pPr>
      <w:r>
        <w:rPr>
          <w:sz w:val="24"/>
        </w:rPr>
        <w:t xml:space="preserve">копия решения органа опеки и попечительства о назначении опекуна (попечителя) - для опекуна (попечителя);</w:t>
      </w:r>
    </w:p>
    <w:p>
      <w:pPr>
        <w:pStyle w:val="0"/>
        <w:spacing w:before="240" w:line-rule="auto"/>
        <w:ind w:firstLine="540"/>
        <w:jc w:val="both"/>
      </w:pPr>
      <w:r>
        <w:rPr>
          <w:sz w:val="24"/>
        </w:rPr>
        <w:t xml:space="preserve">копия решения суда о признании лица фактически воспитывавшим и содержавшим участника;</w:t>
      </w:r>
    </w:p>
    <w:p>
      <w:pPr>
        <w:pStyle w:val="0"/>
        <w:spacing w:before="240" w:line-rule="auto"/>
        <w:ind w:firstLine="540"/>
        <w:jc w:val="both"/>
      </w:pPr>
      <w:r>
        <w:rPr>
          <w:sz w:val="24"/>
        </w:rPr>
        <w:t xml:space="preserve">копия решения суда об установлении факта нахождения на иждивении;</w:t>
      </w:r>
    </w:p>
    <w:p>
      <w:pPr>
        <w:pStyle w:val="0"/>
        <w:spacing w:before="240" w:line-rule="auto"/>
        <w:ind w:firstLine="540"/>
        <w:jc w:val="both"/>
      </w:pPr>
      <w:r>
        <w:rPr>
          <w:sz w:val="24"/>
        </w:rPr>
        <w:t xml:space="preserve">копия свидетельства о смерти гражданина в случае его гибели (смерти);</w:t>
      </w:r>
    </w:p>
    <w:p>
      <w:pPr>
        <w:pStyle w:val="0"/>
        <w:spacing w:before="240" w:line-rule="auto"/>
        <w:ind w:firstLine="540"/>
        <w:jc w:val="both"/>
      </w:pPr>
      <w:r>
        <w:rPr>
          <w:sz w:val="24"/>
        </w:rPr>
        <w:t xml:space="preserve">доверенность на представление интересов участника, члена его семьи.</w:t>
      </w:r>
    </w:p>
    <w:p>
      <w:pPr>
        <w:pStyle w:val="0"/>
        <w:spacing w:before="240" w:line-rule="auto"/>
        <w:ind w:firstLine="540"/>
        <w:jc w:val="both"/>
      </w:pPr>
      <w:r>
        <w:rPr>
          <w:sz w:val="24"/>
        </w:rPr>
        <w:t xml:space="preserve">В случае изменения фамилии, имени, отчества (при наличии) указываются прежние фамилия, имя, отчество (при наличии).</w:t>
      </w:r>
    </w:p>
    <w:p>
      <w:pPr>
        <w:pStyle w:val="0"/>
        <w:spacing w:before="240" w:line-rule="auto"/>
        <w:ind w:firstLine="540"/>
        <w:jc w:val="both"/>
      </w:pPr>
      <w:r>
        <w:rPr>
          <w:sz w:val="24"/>
        </w:rPr>
        <w:t xml:space="preserve">Копии документов, указанных в настоящем пункте, представляются с оригиналами или заверенными в порядке, установленном законодательством Российской Федерации, либо кадровыми подразделениями.</w:t>
      </w:r>
    </w:p>
    <w:p>
      <w:pPr>
        <w:pStyle w:val="0"/>
        <w:spacing w:before="240" w:line-rule="auto"/>
        <w:ind w:firstLine="540"/>
        <w:jc w:val="both"/>
      </w:pPr>
      <w:r>
        <w:rPr>
          <w:sz w:val="24"/>
        </w:rPr>
        <w:t xml:space="preserve">6. Рапорт (заявление) о выдаче справки подлежит обязательной регистрации не позднее следующего дня после дня его поступления в орган военной прокуратуры.</w:t>
      </w:r>
    </w:p>
    <w:p>
      <w:pPr>
        <w:pStyle w:val="0"/>
        <w:spacing w:before="240" w:line-rule="auto"/>
        <w:ind w:firstLine="540"/>
        <w:jc w:val="both"/>
      </w:pPr>
      <w:r>
        <w:rPr>
          <w:sz w:val="24"/>
        </w:rPr>
        <w:t xml:space="preserve">7. Рапорт (заявление) о выдаче справки возвращается заявителю (представителю заявителя) без рассмотрения по следующим основаниям:</w:t>
      </w:r>
    </w:p>
    <w:p>
      <w:pPr>
        <w:pStyle w:val="0"/>
        <w:spacing w:before="240" w:line-rule="auto"/>
        <w:ind w:firstLine="540"/>
        <w:jc w:val="both"/>
      </w:pPr>
      <w:r>
        <w:rPr>
          <w:sz w:val="24"/>
        </w:rPr>
        <w:t xml:space="preserve">неустановление личности лица, обратившегося за получением справки (отказ данного лица предъявить документ, удостоверяющий личность);</w:t>
      </w:r>
    </w:p>
    <w:p>
      <w:pPr>
        <w:pStyle w:val="0"/>
        <w:spacing w:before="240" w:line-rule="auto"/>
        <w:ind w:firstLine="540"/>
        <w:jc w:val="both"/>
      </w:pPr>
      <w:r>
        <w:rPr>
          <w:sz w:val="24"/>
        </w:rPr>
        <w:t xml:space="preserve">предъявление документа, удостоверяющего личность, с истекшим сроком действия, а также по иным основаниям, предусмотренным законодательством Российской Федерации, являющегося недействительным;</w:t>
      </w:r>
    </w:p>
    <w:p>
      <w:pPr>
        <w:pStyle w:val="0"/>
        <w:spacing w:before="240" w:line-rule="auto"/>
        <w:ind w:firstLine="540"/>
        <w:jc w:val="both"/>
      </w:pPr>
      <w:r>
        <w:rPr>
          <w:sz w:val="24"/>
        </w:rPr>
        <w:t xml:space="preserve">непредставление документов (копий документов) либо представление не всех документов, необходимых для принятия решения о выдаче справки заявителю;</w:t>
      </w:r>
    </w:p>
    <w:p>
      <w:pPr>
        <w:pStyle w:val="0"/>
        <w:spacing w:before="240" w:line-rule="auto"/>
        <w:ind w:firstLine="540"/>
        <w:jc w:val="both"/>
      </w:pPr>
      <w:r>
        <w:rPr>
          <w:sz w:val="24"/>
        </w:rPr>
        <w:t xml:space="preserve">непредставление документов, подтверждающих полномочия представителя заявителя.</w:t>
      </w:r>
    </w:p>
    <w:p>
      <w:pPr>
        <w:pStyle w:val="0"/>
        <w:spacing w:before="240" w:line-rule="auto"/>
        <w:ind w:firstLine="540"/>
        <w:jc w:val="both"/>
      </w:pPr>
      <w:r>
        <w:rPr>
          <w:sz w:val="24"/>
        </w:rPr>
        <w:t xml:space="preserve">8. После приема рапорта (заявления) кадровыми подразделениями представленные документы (их копии) проверяются, в том числе путем направления запросов в федеральные органы исполнительной власти (федеральные государственные органы) с использованием единой системы межведомственного электронного взаимодействия или на бумажном носителе, изучаются имеющиеся в материалах личных дел, архивах органов военной прокуратуры документы, при необходимости истребуются документы из Главной военной прокуратуры, военных прокуратур окружного звена, военных прокуратур объединений, соединений, гарнизонов и других военных прокуратур, приравненных к прокуратурам городов и районов.</w:t>
      </w:r>
    </w:p>
    <w:p>
      <w:pPr>
        <w:pStyle w:val="0"/>
        <w:spacing w:before="240" w:line-rule="auto"/>
        <w:ind w:firstLine="540"/>
        <w:jc w:val="both"/>
      </w:pPr>
      <w:r>
        <w:rPr>
          <w:sz w:val="24"/>
        </w:rPr>
        <w:t xml:space="preserve">9. Документами, на основании которых устанавливается факт участия в специальной военной операции, являются: выписки из приказов об установлении периодов фактического участия в специальной военной операции, о зачислении в списки личного состава военных прокуратур, которые участвуют в специальной военной операции, о приеме на федеральную государственную гражданскую службу (назначении на должность), командировочные удостоверения с отметками о прибытии в военные прокуратуры (воинские части и организации) и об убытии из них, удостоверение ветерана боевых действий, другие документы, на основании которых можно установить факт участия в специальной военной операции, а также копии таких документов, заверенные надлежащим образом.</w:t>
      </w:r>
    </w:p>
    <w:p>
      <w:pPr>
        <w:pStyle w:val="0"/>
        <w:spacing w:before="240" w:line-rule="auto"/>
        <w:ind w:firstLine="540"/>
        <w:jc w:val="both"/>
      </w:pPr>
      <w:r>
        <w:rPr>
          <w:sz w:val="24"/>
        </w:rPr>
        <w:t xml:space="preserve">10. По результатам рассмотрения рапорта (заявления) принимается решение о выдаче справки или об отказе в ее оформлении.</w:t>
      </w:r>
    </w:p>
    <w:p>
      <w:pPr>
        <w:pStyle w:val="0"/>
        <w:spacing w:before="240" w:line-rule="auto"/>
        <w:ind w:firstLine="540"/>
        <w:jc w:val="both"/>
      </w:pPr>
      <w:r>
        <w:rPr>
          <w:sz w:val="24"/>
        </w:rPr>
        <w:t xml:space="preserve">Решение об отказе в оформлении справки принимается в случае, если:</w:t>
      </w:r>
    </w:p>
    <w:p>
      <w:pPr>
        <w:pStyle w:val="0"/>
        <w:spacing w:before="240" w:line-rule="auto"/>
        <w:ind w:firstLine="540"/>
        <w:jc w:val="both"/>
      </w:pPr>
      <w:r>
        <w:rPr>
          <w:sz w:val="24"/>
        </w:rPr>
        <w:t xml:space="preserve">не подтверждено участие в специальной военной операции;</w:t>
      </w:r>
    </w:p>
    <w:p>
      <w:pPr>
        <w:pStyle w:val="0"/>
        <w:spacing w:before="240" w:line-rule="auto"/>
        <w:ind w:firstLine="540"/>
        <w:jc w:val="both"/>
      </w:pPr>
      <w:r>
        <w:rPr>
          <w:sz w:val="24"/>
        </w:rPr>
        <w:t xml:space="preserve">заявитель не относится к членам семьи участника, указанным в </w:t>
      </w:r>
      <w:hyperlink w:history="0" w:anchor="P46" w:tooltip="2.2. Членам семей участников - детям, супругам, родителям, лицам, признанным фактически воспитывавшими и содержавшими участников, лицам, находящимся (находившимся) на иждивении участников, а также полнородным и неполнородным братьям и сестрам в случае гибели участника и отсутствия иных членов семьи.">
        <w:r>
          <w:rPr>
            <w:sz w:val="24"/>
            <w:color w:val="0000ff"/>
          </w:rPr>
          <w:t xml:space="preserve">пункте 2.2</w:t>
        </w:r>
      </w:hyperlink>
      <w:r>
        <w:rPr>
          <w:sz w:val="24"/>
        </w:rPr>
        <w:t xml:space="preserve"> настоящего Порядка, либо не подтверждены полномочия представителя в результате проверки представленных им документов.</w:t>
      </w:r>
    </w:p>
    <w:bookmarkStart w:id="75" w:name="P75"/>
    <w:bookmarkEnd w:id="75"/>
    <w:p>
      <w:pPr>
        <w:pStyle w:val="0"/>
        <w:spacing w:before="240" w:line-rule="auto"/>
        <w:ind w:firstLine="540"/>
        <w:jc w:val="both"/>
      </w:pPr>
      <w:r>
        <w:rPr>
          <w:sz w:val="24"/>
        </w:rPr>
        <w:t xml:space="preserve">11. Справка оформляется в течение 5 рабочих дней после регистрации рапорта (заявления). Срок ее оформления может быть продлен до 30 календарных дней при необходимости проведения дополнительной проверки, о чем заявитель (представитель заявителя) уведомляется в письменной форме в течение одного рабочего дня с даты принятия такого решения.</w:t>
      </w:r>
    </w:p>
    <w:p>
      <w:pPr>
        <w:pStyle w:val="0"/>
        <w:spacing w:before="240" w:line-rule="auto"/>
        <w:ind w:firstLine="540"/>
        <w:jc w:val="both"/>
      </w:pPr>
      <w:r>
        <w:rPr>
          <w:sz w:val="24"/>
        </w:rPr>
        <w:t xml:space="preserve">12. Справка оформляется участнику по форме согласно </w:t>
      </w:r>
      <w:hyperlink w:history="0" r:id="rId11"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приложению N 1</w:t>
        </w:r>
      </w:hyperlink>
      <w:r>
        <w:rPr>
          <w:sz w:val="24"/>
        </w:rPr>
        <w:t xml:space="preserve"> к Постановлению, членам семьи участника - по форме согласно </w:t>
      </w:r>
      <w:hyperlink w:history="0" r:id="rId12"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приложению N 2</w:t>
        </w:r>
      </w:hyperlink>
      <w:r>
        <w:rPr>
          <w:sz w:val="24"/>
        </w:rPr>
        <w:t xml:space="preserve"> к Постановлению.</w:t>
      </w:r>
    </w:p>
    <w:p>
      <w:pPr>
        <w:pStyle w:val="0"/>
        <w:spacing w:before="240" w:line-rule="auto"/>
        <w:ind w:firstLine="540"/>
        <w:jc w:val="both"/>
      </w:pPr>
      <w:r>
        <w:rPr>
          <w:sz w:val="24"/>
        </w:rPr>
        <w:t xml:space="preserve">13. Справки подписываются:</w:t>
      </w:r>
    </w:p>
    <w:p>
      <w:pPr>
        <w:pStyle w:val="0"/>
        <w:spacing w:before="240" w:line-rule="auto"/>
        <w:ind w:firstLine="540"/>
        <w:jc w:val="both"/>
      </w:pPr>
      <w:r>
        <w:rPr>
          <w:sz w:val="24"/>
        </w:rPr>
        <w:t xml:space="preserve">в Главной военной прокуратуре - начальником управления кадров или его заместителями;</w:t>
      </w:r>
    </w:p>
    <w:p>
      <w:pPr>
        <w:pStyle w:val="0"/>
        <w:spacing w:before="240" w:line-rule="auto"/>
        <w:ind w:firstLine="540"/>
        <w:jc w:val="both"/>
      </w:pPr>
      <w:r>
        <w:rPr>
          <w:sz w:val="24"/>
        </w:rPr>
        <w:t xml:space="preserve">в военной прокуратуре окружного звена - руководителем кадрового подразделения или старшим помощником военного прокурора, ответственным за работу с кадрами.</w:t>
      </w:r>
    </w:p>
    <w:p>
      <w:pPr>
        <w:pStyle w:val="0"/>
        <w:spacing w:before="240" w:line-rule="auto"/>
        <w:ind w:firstLine="540"/>
        <w:jc w:val="both"/>
      </w:pPr>
      <w:r>
        <w:rPr>
          <w:sz w:val="24"/>
        </w:rPr>
        <w:t xml:space="preserve">14. Заявители (представители заявителей) получают справки на бумажном носителе в кадровых подразделениях органов военной прокуратуры по месту подачи рапорта (заявления).</w:t>
      </w:r>
    </w:p>
    <w:p>
      <w:pPr>
        <w:pStyle w:val="0"/>
        <w:spacing w:before="240" w:line-rule="auto"/>
        <w:ind w:firstLine="540"/>
        <w:jc w:val="both"/>
      </w:pPr>
      <w:r>
        <w:rPr>
          <w:sz w:val="24"/>
        </w:rPr>
        <w:t xml:space="preserve">15. Справка выдается лично заявителю (законному представителю заявителя) или его представителю по доверенности, оформленной в соответствии с законодательством Российской Федерации.</w:t>
      </w:r>
    </w:p>
    <w:p>
      <w:pPr>
        <w:pStyle w:val="0"/>
        <w:spacing w:before="240" w:line-rule="auto"/>
        <w:ind w:firstLine="540"/>
        <w:jc w:val="both"/>
      </w:pPr>
      <w:r>
        <w:rPr>
          <w:sz w:val="24"/>
        </w:rPr>
        <w:t xml:space="preserve">16. По письменной просьбе заявителя (его представителя) справка может быть направлена по указанному им в рапорте (заявлении) адресу заказным письмом с уведомлением о вручении.</w:t>
      </w:r>
    </w:p>
    <w:p>
      <w:pPr>
        <w:pStyle w:val="0"/>
        <w:spacing w:before="240" w:line-rule="auto"/>
        <w:ind w:firstLine="540"/>
        <w:jc w:val="both"/>
      </w:pPr>
      <w:r>
        <w:rPr>
          <w:sz w:val="24"/>
        </w:rPr>
        <w:t xml:space="preserve">17. Об отказе в оформлении справки заявитель (представитель заявителя) уведомляется в письменной форме в срок, установленный в </w:t>
      </w:r>
      <w:hyperlink w:history="0" w:anchor="P75" w:tooltip="11. Справка оформляется в течение 5 рабочих дней после регистрации рапорта (заявления). Срок ее оформления может быть продлен до 30 календарных дней при необходимости проведения дополнительной проверки, о чем заявитель (представитель заявителя) уведомляется в письменной форме в течение одного рабочего дня с даты принятия такого решения.">
        <w:r>
          <w:rPr>
            <w:sz w:val="24"/>
            <w:color w:val="0000ff"/>
          </w:rPr>
          <w:t xml:space="preserve">пункте 11</w:t>
        </w:r>
      </w:hyperlink>
      <w:r>
        <w:rPr>
          <w:sz w:val="24"/>
        </w:rPr>
        <w:t xml:space="preserve"> настоящего Порядка, с указанием причин принятого решения.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выдачи в органах военной</w:t>
      </w:r>
    </w:p>
    <w:p>
      <w:pPr>
        <w:pStyle w:val="0"/>
        <w:jc w:val="right"/>
      </w:pPr>
      <w:r>
        <w:rPr>
          <w:sz w:val="24"/>
        </w:rPr>
        <w:t xml:space="preserve">прокуратуры справки о подтверждении</w:t>
      </w:r>
    </w:p>
    <w:p>
      <w:pPr>
        <w:pStyle w:val="0"/>
        <w:jc w:val="right"/>
      </w:pPr>
      <w:r>
        <w:rPr>
          <w:sz w:val="24"/>
        </w:rPr>
        <w:t xml:space="preserve">факта участия в специальной военной</w:t>
      </w:r>
    </w:p>
    <w:p>
      <w:pPr>
        <w:pStyle w:val="0"/>
        <w:jc w:val="right"/>
      </w:pPr>
      <w:r>
        <w:rPr>
          <w:sz w:val="24"/>
        </w:rPr>
        <w:t xml:space="preserve">операции на территориях Украины,</w:t>
      </w:r>
    </w:p>
    <w:p>
      <w:pPr>
        <w:pStyle w:val="0"/>
        <w:jc w:val="right"/>
      </w:pPr>
      <w:r>
        <w:rPr>
          <w:sz w:val="24"/>
        </w:rPr>
        <w:t xml:space="preserve">Донецкой Народной Республики, Луганской</w:t>
      </w:r>
    </w:p>
    <w:p>
      <w:pPr>
        <w:pStyle w:val="0"/>
        <w:jc w:val="right"/>
      </w:pPr>
      <w:r>
        <w:rPr>
          <w:sz w:val="24"/>
        </w:rPr>
        <w:t xml:space="preserve">Народной Республики, Запорожской области</w:t>
      </w:r>
    </w:p>
    <w:p>
      <w:pPr>
        <w:pStyle w:val="0"/>
        <w:jc w:val="right"/>
      </w:pPr>
      <w:r>
        <w:rPr>
          <w:sz w:val="24"/>
        </w:rPr>
        <w:t xml:space="preserve">и Херсонской области участникам</w:t>
      </w:r>
    </w:p>
    <w:p>
      <w:pPr>
        <w:pStyle w:val="0"/>
        <w:jc w:val="right"/>
      </w:pPr>
      <w:r>
        <w:rPr>
          <w:sz w:val="24"/>
        </w:rPr>
        <w:t xml:space="preserve">специальной военной операции</w:t>
      </w:r>
    </w:p>
    <w:p>
      <w:pPr>
        <w:pStyle w:val="0"/>
        <w:jc w:val="right"/>
      </w:pPr>
      <w:r>
        <w:rPr>
          <w:sz w:val="24"/>
        </w:rPr>
        <w:t xml:space="preserve">и (или) членам их семей</w:t>
      </w:r>
    </w:p>
    <w:p>
      <w:pPr>
        <w:pStyle w:val="0"/>
        <w:jc w:val="both"/>
      </w:pPr>
      <w:r>
        <w:rPr>
          <w:sz w:val="24"/>
        </w:rPr>
      </w:r>
    </w:p>
    <w:tbl>
      <w:tblPr>
        <w:tblInd w:w="0" w:type="dxa"/>
        <w:tblLayout w:type="fixed"/>
        <w:tblCellMar>
          <w:top w:w="102" w:type="dxa"/>
          <w:left w:w="62" w:type="dxa"/>
          <w:bottom w:w="102" w:type="dxa"/>
          <w:right w:w="62" w:type="dxa"/>
        </w:tblCellMar>
      </w:tblPr>
      <w:tblGrid>
        <w:gridCol w:w="4535"/>
        <w:gridCol w:w="555"/>
        <w:gridCol w:w="450"/>
        <w:gridCol w:w="1321"/>
        <w:gridCol w:w="361"/>
        <w:gridCol w:w="1517"/>
        <w:gridCol w:w="340"/>
      </w:tblGrid>
      <w:tr>
        <w:tc>
          <w:tcPr>
            <w:tcW w:w="4535" w:type="dxa"/>
            <w:tcBorders>
              <w:top w:val="nil"/>
              <w:left w:val="nil"/>
              <w:bottom w:val="nil"/>
              <w:right w:val="nil"/>
            </w:tcBorders>
          </w:tcPr>
          <w:p>
            <w:pPr>
              <w:pStyle w:val="0"/>
            </w:pPr>
            <w:r>
              <w:rPr>
                <w:sz w:val="24"/>
              </w:rPr>
            </w:r>
          </w:p>
        </w:tc>
        <w:tc>
          <w:tcPr>
            <w:gridSpan w:val="6"/>
            <w:tcW w:w="4544" w:type="dxa"/>
            <w:tcBorders>
              <w:top w:val="nil"/>
              <w:left w:val="nil"/>
              <w:bottom w:val="nil"/>
              <w:right w:val="nil"/>
            </w:tcBorders>
          </w:tcPr>
          <w:p>
            <w:pPr>
              <w:pStyle w:val="0"/>
              <w:jc w:val="both"/>
            </w:pPr>
            <w:r>
              <w:rPr>
                <w:sz w:val="24"/>
              </w:rPr>
              <w:t xml:space="preserve">Начальнику управления кадров Главной военной прокуратуры (руководителю кадрового подразделения военной прокуратуры окружного звена)</w:t>
            </w:r>
          </w:p>
        </w:tc>
      </w:tr>
      <w:tr>
        <w:tc>
          <w:tcPr>
            <w:tcW w:w="4535" w:type="dxa"/>
            <w:tcBorders>
              <w:top w:val="nil"/>
              <w:left w:val="nil"/>
              <w:bottom w:val="nil"/>
              <w:right w:val="nil"/>
            </w:tcBorders>
          </w:tcPr>
          <w:p>
            <w:pPr>
              <w:pStyle w:val="0"/>
            </w:pPr>
            <w:r>
              <w:rPr>
                <w:sz w:val="24"/>
              </w:rPr>
            </w:r>
          </w:p>
        </w:tc>
        <w:tc>
          <w:tcPr>
            <w:gridSpan w:val="6"/>
            <w:tcW w:w="4544"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tcW w:w="555" w:type="dxa"/>
            <w:vAlign w:val="bottom"/>
            <w:tcBorders>
              <w:top w:val="single" w:sz="4"/>
              <w:left w:val="nil"/>
              <w:bottom w:val="nil"/>
              <w:right w:val="nil"/>
            </w:tcBorders>
          </w:tcPr>
          <w:p>
            <w:pPr>
              <w:pStyle w:val="0"/>
              <w:jc w:val="both"/>
            </w:pPr>
            <w:r>
              <w:rPr>
                <w:sz w:val="24"/>
              </w:rPr>
              <w:t xml:space="preserve">от</w:t>
            </w:r>
          </w:p>
        </w:tc>
        <w:tc>
          <w:tcPr>
            <w:gridSpan w:val="4"/>
            <w:tcW w:w="3649" w:type="dxa"/>
            <w:tcBorders>
              <w:top w:val="single" w:sz="4"/>
              <w:left w:val="nil"/>
              <w:bottom w:val="single" w:sz="4"/>
              <w:right w:val="nil"/>
            </w:tcBorders>
          </w:tcPr>
          <w:p>
            <w:pPr>
              <w:pStyle w:val="0"/>
            </w:pPr>
            <w:r>
              <w:rPr>
                <w:sz w:val="24"/>
              </w:rPr>
            </w:r>
          </w:p>
        </w:tc>
        <w:tc>
          <w:tcPr>
            <w:tcW w:w="340" w:type="dxa"/>
            <w:vAlign w:val="bottom"/>
            <w:tcBorders>
              <w:top w:val="single" w:sz="4"/>
              <w:left w:val="nil"/>
              <w:bottom w:val="nil"/>
              <w:right w:val="nil"/>
            </w:tcBorders>
          </w:tcPr>
          <w:p>
            <w:pPr>
              <w:pStyle w:val="0"/>
            </w:pPr>
            <w:r>
              <w:rPr>
                <w:sz w:val="24"/>
              </w:rPr>
              <w:t xml:space="preserve">,</w:t>
            </w:r>
          </w:p>
        </w:tc>
      </w:tr>
      <w:tr>
        <w:tc>
          <w:tcPr>
            <w:tcW w:w="4535" w:type="dxa"/>
            <w:tcBorders>
              <w:top w:val="nil"/>
              <w:left w:val="nil"/>
              <w:bottom w:val="nil"/>
              <w:right w:val="nil"/>
            </w:tcBorders>
          </w:tcPr>
          <w:p>
            <w:pPr>
              <w:pStyle w:val="0"/>
            </w:pPr>
            <w:r>
              <w:rPr>
                <w:sz w:val="24"/>
              </w:rPr>
            </w:r>
          </w:p>
        </w:tc>
        <w:tc>
          <w:tcPr>
            <w:tcW w:w="555" w:type="dxa"/>
            <w:tcBorders>
              <w:top w:val="nil"/>
              <w:left w:val="nil"/>
              <w:bottom w:val="nil"/>
              <w:right w:val="nil"/>
            </w:tcBorders>
          </w:tcPr>
          <w:p>
            <w:pPr>
              <w:pStyle w:val="0"/>
            </w:pPr>
            <w:r>
              <w:rPr>
                <w:sz w:val="24"/>
              </w:rPr>
            </w:r>
          </w:p>
        </w:tc>
        <w:tc>
          <w:tcPr>
            <w:gridSpan w:val="4"/>
            <w:tcW w:w="3649" w:type="dxa"/>
            <w:tcBorders>
              <w:top w:val="single" w:sz="4"/>
              <w:left w:val="nil"/>
              <w:bottom w:val="nil"/>
              <w:right w:val="nil"/>
            </w:tcBorders>
          </w:tcPr>
          <w:p>
            <w:pPr>
              <w:pStyle w:val="0"/>
              <w:jc w:val="center"/>
            </w:pPr>
            <w:r>
              <w:rPr>
                <w:sz w:val="24"/>
              </w:rPr>
              <w:t xml:space="preserve">(фамилия, имя, отчество (при наличии)</w:t>
            </w:r>
          </w:p>
        </w:tc>
        <w:tc>
          <w:tcPr>
            <w:tcW w:w="340" w:type="dxa"/>
            <w:tcBorders>
              <w:top w:val="nil"/>
              <w:left w:val="nil"/>
              <w:bottom w:val="nil"/>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4"/>
            <w:tcW w:w="2687" w:type="dxa"/>
            <w:vAlign w:val="bottom"/>
            <w:tcBorders>
              <w:top w:val="nil"/>
              <w:left w:val="nil"/>
              <w:bottom w:val="nil"/>
              <w:right w:val="nil"/>
            </w:tcBorders>
          </w:tcPr>
          <w:p>
            <w:pPr>
              <w:pStyle w:val="0"/>
              <w:jc w:val="both"/>
            </w:pPr>
            <w:r>
              <w:rPr>
                <w:sz w:val="24"/>
              </w:rPr>
              <w:t xml:space="preserve">зарегистированного(ой)</w:t>
            </w:r>
          </w:p>
        </w:tc>
        <w:tc>
          <w:tcPr>
            <w:gridSpan w:val="2"/>
            <w:tcW w:w="1857"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6"/>
            <w:tcW w:w="4544"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2"/>
            <w:tcW w:w="1005" w:type="dxa"/>
            <w:vAlign w:val="bottom"/>
            <w:tcBorders>
              <w:top w:val="single" w:sz="4"/>
              <w:left w:val="nil"/>
              <w:bottom w:val="nil"/>
              <w:right w:val="nil"/>
            </w:tcBorders>
          </w:tcPr>
          <w:p>
            <w:pPr>
              <w:pStyle w:val="0"/>
              <w:jc w:val="both"/>
            </w:pPr>
            <w:r>
              <w:rPr>
                <w:sz w:val="24"/>
              </w:rPr>
              <w:t xml:space="preserve">паспорт</w:t>
            </w:r>
          </w:p>
        </w:tc>
        <w:tc>
          <w:tcPr>
            <w:gridSpan w:val="4"/>
            <w:tcW w:w="3539" w:type="dxa"/>
            <w:tcBorders>
              <w:top w:val="single" w:sz="4"/>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2"/>
            <w:tcW w:w="1005" w:type="dxa"/>
            <w:tcBorders>
              <w:top w:val="nil"/>
              <w:left w:val="nil"/>
              <w:bottom w:val="nil"/>
              <w:right w:val="nil"/>
            </w:tcBorders>
          </w:tcPr>
          <w:p>
            <w:pPr>
              <w:pStyle w:val="0"/>
            </w:pPr>
            <w:r>
              <w:rPr>
                <w:sz w:val="24"/>
              </w:rPr>
            </w:r>
          </w:p>
        </w:tc>
        <w:tc>
          <w:tcPr>
            <w:gridSpan w:val="4"/>
            <w:tcW w:w="3539" w:type="dxa"/>
            <w:tcBorders>
              <w:top w:val="single" w:sz="4"/>
              <w:left w:val="nil"/>
              <w:bottom w:val="nil"/>
              <w:right w:val="nil"/>
            </w:tcBorders>
          </w:tcPr>
          <w:p>
            <w:pPr>
              <w:pStyle w:val="0"/>
              <w:jc w:val="center"/>
            </w:pPr>
            <w:r>
              <w:rPr>
                <w:sz w:val="24"/>
              </w:rPr>
              <w:t xml:space="preserve">(серия, номер, когда и кем выдан)</w:t>
            </w:r>
          </w:p>
        </w:tc>
      </w:tr>
      <w:tr>
        <w:tc>
          <w:tcPr>
            <w:tcW w:w="4535" w:type="dxa"/>
            <w:tcBorders>
              <w:top w:val="nil"/>
              <w:left w:val="nil"/>
              <w:bottom w:val="nil"/>
              <w:right w:val="nil"/>
            </w:tcBorders>
          </w:tcPr>
          <w:p>
            <w:pPr>
              <w:pStyle w:val="0"/>
            </w:pPr>
            <w:r>
              <w:rPr>
                <w:sz w:val="24"/>
              </w:rPr>
            </w:r>
          </w:p>
        </w:tc>
        <w:tc>
          <w:tcPr>
            <w:gridSpan w:val="3"/>
            <w:tcW w:w="2326" w:type="dxa"/>
            <w:vAlign w:val="bottom"/>
            <w:tcBorders>
              <w:top w:val="nil"/>
              <w:left w:val="nil"/>
              <w:bottom w:val="nil"/>
              <w:right w:val="nil"/>
            </w:tcBorders>
          </w:tcPr>
          <w:p>
            <w:pPr>
              <w:pStyle w:val="0"/>
              <w:jc w:val="both"/>
            </w:pPr>
            <w:r>
              <w:rPr>
                <w:sz w:val="24"/>
              </w:rPr>
              <w:t xml:space="preserve">контактный телефон</w:t>
            </w:r>
          </w:p>
        </w:tc>
        <w:tc>
          <w:tcPr>
            <w:gridSpan w:val="3"/>
            <w:tcW w:w="221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27" w:name="P127"/>
          <w:bookmarkEnd w:id="127"/>
          <w:p>
            <w:pPr>
              <w:pStyle w:val="0"/>
              <w:jc w:val="center"/>
            </w:pPr>
            <w:r>
              <w:rPr>
                <w:sz w:val="24"/>
              </w:rPr>
              <w:t xml:space="preserve">РАПОРТ (ЗАЯВЛЕНИЕ)</w:t>
            </w:r>
          </w:p>
          <w:p>
            <w:pPr>
              <w:pStyle w:val="0"/>
              <w:jc w:val="center"/>
            </w:pPr>
            <w:r>
              <w:rPr>
                <w:sz w:val="24"/>
              </w:rPr>
              <w:t xml:space="preserve">(нужное подчеркнуть)</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89"/>
        <w:gridCol w:w="8007"/>
        <w:gridCol w:w="375"/>
      </w:tblGrid>
      <w:tr>
        <w:tc>
          <w:tcPr>
            <w:gridSpan w:val="3"/>
            <w:tcW w:w="9071" w:type="dxa"/>
            <w:tcBorders>
              <w:top w:val="nil"/>
              <w:left w:val="nil"/>
              <w:bottom w:val="nil"/>
              <w:right w:val="nil"/>
            </w:tcBorders>
          </w:tcPr>
          <w:p>
            <w:pPr>
              <w:pStyle w:val="0"/>
              <w:ind w:firstLine="283"/>
              <w:jc w:val="both"/>
            </w:pPr>
            <w:r>
              <w:rPr>
                <w:sz w:val="24"/>
              </w:rPr>
              <w:t xml:space="preserve">В соответствии с </w:t>
            </w:r>
            <w:hyperlink w:history="0" r:id="rId13"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пунктом 1</w:t>
              </w:r>
            </w:hyperlink>
            <w:r>
              <w:rPr>
                <w:sz w:val="24"/>
              </w:rPr>
              <w:t xml:space="preserve"> постановления Правительства Российской Федерации от 9 октября 2024 г. N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прошу выдать мне справку о подтверждении факта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r>
      <w:tr>
        <w:tc>
          <w:tcPr>
            <w:gridSpan w:val="3"/>
            <w:tcW w:w="9071" w:type="dxa"/>
            <w:tcBorders>
              <w:top w:val="nil"/>
              <w:left w:val="nil"/>
              <w:bottom w:val="nil"/>
              <w:right w:val="nil"/>
            </w:tcBorders>
          </w:tcPr>
          <w:p>
            <w:pPr>
              <w:pStyle w:val="0"/>
              <w:ind w:firstLine="283"/>
              <w:jc w:val="both"/>
            </w:pPr>
            <w:r>
              <w:rPr>
                <w:sz w:val="24"/>
              </w:rPr>
              <w:t xml:space="preserve">Проходил военную службу (службу) (замещал должность федеральной государственной гражданской службы, осуществлял трудовую деятельность, командировался в (указывается участником специальной военной операции, проходившим военную службу, замещавшим должность федеральной государственной гражданской службы, осуществлявшим трудовую деятельность) ____________________</w:t>
            </w:r>
          </w:p>
        </w:tc>
      </w:tr>
      <w:tr>
        <w:tc>
          <w:tcPr>
            <w:gridSpan w:val="2"/>
            <w:tcW w:w="8696" w:type="dxa"/>
            <w:vAlign w:val="bottom"/>
            <w:tcBorders>
              <w:top w:val="nil"/>
              <w:left w:val="nil"/>
              <w:bottom w:val="single" w:sz="4"/>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w:t>
            </w:r>
          </w:p>
        </w:tc>
      </w:tr>
      <w:tr>
        <w:tc>
          <w:tcPr>
            <w:gridSpan w:val="2"/>
            <w:tcW w:w="8696" w:type="dxa"/>
            <w:tcBorders>
              <w:top w:val="single" w:sz="4"/>
              <w:left w:val="nil"/>
              <w:bottom w:val="nil"/>
              <w:right w:val="nil"/>
            </w:tcBorders>
          </w:tcPr>
          <w:p>
            <w:pPr>
              <w:pStyle w:val="0"/>
              <w:jc w:val="center"/>
            </w:pPr>
            <w:r>
              <w:rPr>
                <w:sz w:val="24"/>
              </w:rPr>
              <w:t xml:space="preserve">(указывается наименование военной прокуратуры, воинской части, организации)</w:t>
            </w:r>
          </w:p>
        </w:tc>
        <w:tc>
          <w:tcPr>
            <w:tcW w:w="375" w:type="dxa"/>
            <w:tcBorders>
              <w:top w:val="nil"/>
              <w:left w:val="nil"/>
              <w:bottom w:val="nil"/>
              <w:right w:val="nil"/>
            </w:tcBorders>
          </w:tcPr>
          <w:p>
            <w:pPr>
              <w:pStyle w:val="0"/>
            </w:pPr>
            <w:r>
              <w:rPr>
                <w:sz w:val="24"/>
              </w:rPr>
            </w:r>
          </w:p>
        </w:tc>
      </w:tr>
      <w:tr>
        <w:tc>
          <w:tcPr>
            <w:gridSpan w:val="3"/>
            <w:tcW w:w="9071" w:type="dxa"/>
            <w:vAlign w:val="bottom"/>
            <w:tcBorders>
              <w:top w:val="nil"/>
              <w:left w:val="nil"/>
              <w:bottom w:val="nil"/>
              <w:right w:val="nil"/>
            </w:tcBorders>
          </w:tcPr>
          <w:p>
            <w:pPr>
              <w:pStyle w:val="0"/>
              <w:ind w:firstLine="283"/>
              <w:jc w:val="both"/>
            </w:pPr>
            <w:r>
              <w:rPr>
                <w:sz w:val="24"/>
              </w:rPr>
              <w:t xml:space="preserve">К рапорту (заявлению) прилагаю:</w:t>
            </w:r>
          </w:p>
        </w:tc>
      </w:tr>
      <w:tr>
        <w:tc>
          <w:tcPr>
            <w:tcW w:w="689" w:type="dxa"/>
            <w:vAlign w:val="bottom"/>
            <w:tcBorders>
              <w:top w:val="nil"/>
              <w:left w:val="nil"/>
              <w:bottom w:val="nil"/>
              <w:right w:val="nil"/>
            </w:tcBorders>
          </w:tcPr>
          <w:p>
            <w:pPr>
              <w:pStyle w:val="0"/>
              <w:ind w:firstLine="283"/>
              <w:jc w:val="both"/>
            </w:pPr>
            <w:r>
              <w:rPr>
                <w:sz w:val="24"/>
              </w:rPr>
              <w:t xml:space="preserve">1.</w:t>
            </w:r>
          </w:p>
        </w:tc>
        <w:tc>
          <w:tcPr>
            <w:tcW w:w="8007" w:type="dxa"/>
            <w:vAlign w:val="bottom"/>
            <w:tcBorders>
              <w:top w:val="nil"/>
              <w:left w:val="nil"/>
              <w:bottom w:val="single" w:sz="4"/>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w:t>
            </w:r>
          </w:p>
        </w:tc>
      </w:tr>
      <w:tr>
        <w:tc>
          <w:tcPr>
            <w:tcW w:w="689" w:type="dxa"/>
            <w:vAlign w:val="bottom"/>
            <w:tcBorders>
              <w:top w:val="nil"/>
              <w:left w:val="nil"/>
              <w:bottom w:val="nil"/>
              <w:right w:val="nil"/>
            </w:tcBorders>
          </w:tcPr>
          <w:p>
            <w:pPr>
              <w:pStyle w:val="0"/>
              <w:ind w:firstLine="283"/>
              <w:jc w:val="both"/>
            </w:pPr>
            <w:r>
              <w:rPr>
                <w:sz w:val="24"/>
              </w:rPr>
              <w:t xml:space="preserve">2.</w:t>
            </w:r>
          </w:p>
        </w:tc>
        <w:tc>
          <w:tcPr>
            <w:tcW w:w="8007" w:type="dxa"/>
            <w:vAlign w:val="bottom"/>
            <w:tcBorders>
              <w:top w:val="single" w:sz="4"/>
              <w:left w:val="nil"/>
              <w:bottom w:val="single" w:sz="4"/>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551"/>
        <w:gridCol w:w="340"/>
        <w:gridCol w:w="1871"/>
        <w:gridCol w:w="340"/>
        <w:gridCol w:w="3969"/>
      </w:tblGrid>
      <w:tr>
        <w:tblPrEx>
          <w:tblBorders>
            <w:insideH w:val="single" w:sz="4"/>
          </w:tblBorders>
        </w:tblPrEx>
        <w:tc>
          <w:tcPr>
            <w:tcW w:w="2551" w:type="dxa"/>
            <w:tcBorders>
              <w:top w:val="nil"/>
              <w:left w:val="nil"/>
              <w:bottom w:val="single" w:sz="4"/>
              <w:right w:val="nil"/>
            </w:tcBorders>
          </w:tcPr>
          <w:p>
            <w:pPr>
              <w:pStyle w:val="0"/>
            </w:pPr>
            <w:r>
              <w:rPr>
                <w:sz w:val="24"/>
              </w:rPr>
            </w:r>
          </w:p>
        </w:tc>
        <w:tc>
          <w:tcPr>
            <w:tcW w:w="340" w:type="dxa"/>
            <w:tcBorders>
              <w:top w:val="nil"/>
              <w:left w:val="nil"/>
              <w:bottom w:val="single" w:sz="4"/>
              <w:right w:val="nil"/>
            </w:tcBorders>
          </w:tcPr>
          <w:p>
            <w:pPr>
              <w:pStyle w:val="0"/>
            </w:pPr>
            <w:r>
              <w:rPr>
                <w:sz w:val="24"/>
              </w:rPr>
            </w:r>
          </w:p>
        </w:tc>
        <w:tc>
          <w:tcPr>
            <w:tcW w:w="187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969" w:type="dxa"/>
            <w:tcBorders>
              <w:top w:val="nil"/>
              <w:left w:val="nil"/>
              <w:bottom w:val="single" w:sz="4"/>
              <w:right w:val="nil"/>
            </w:tcBorders>
          </w:tcPr>
          <w:p>
            <w:pPr>
              <w:pStyle w:val="0"/>
            </w:pPr>
            <w:r>
              <w:rPr>
                <w:sz w:val="24"/>
              </w:rPr>
            </w:r>
          </w:p>
        </w:tc>
      </w:tr>
      <w:tr>
        <w:tc>
          <w:tcPr>
            <w:tcW w:w="2551" w:type="dxa"/>
            <w:tcBorders>
              <w:top w:val="single" w:sz="4"/>
              <w:left w:val="nil"/>
              <w:bottom w:val="nil"/>
              <w:right w:val="nil"/>
            </w:tcBorders>
          </w:tcPr>
          <w:p>
            <w:pPr>
              <w:pStyle w:val="0"/>
              <w:jc w:val="center"/>
            </w:pPr>
            <w:r>
              <w:rPr>
                <w:sz w:val="24"/>
              </w:rPr>
              <w:t xml:space="preserve">(должность)</w:t>
            </w:r>
          </w:p>
        </w:tc>
        <w:tc>
          <w:tcPr>
            <w:tcW w:w="340" w:type="dxa"/>
            <w:tcBorders>
              <w:top w:val="single" w:sz="4"/>
              <w:left w:val="nil"/>
              <w:bottom w:val="nil"/>
              <w:right w:val="nil"/>
            </w:tcBorders>
          </w:tcPr>
          <w:p>
            <w:pPr>
              <w:pStyle w:val="0"/>
            </w:pPr>
            <w:r>
              <w:rPr>
                <w:sz w:val="24"/>
              </w:rPr>
            </w:r>
          </w:p>
        </w:tc>
        <w:tc>
          <w:tcPr>
            <w:tcW w:w="1871"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3969" w:type="dxa"/>
            <w:tcBorders>
              <w:top w:val="single" w:sz="4"/>
              <w:left w:val="nil"/>
              <w:bottom w:val="nil"/>
              <w:right w:val="nil"/>
            </w:tcBorders>
          </w:tcPr>
          <w:p>
            <w:pPr>
              <w:pStyle w:val="0"/>
              <w:jc w:val="center"/>
            </w:pPr>
            <w:r>
              <w:rPr>
                <w:sz w:val="24"/>
              </w:rPr>
              <w:t xml:space="preserve">(инициалы и фамилия участника специальной военной операции)</w:t>
            </w:r>
          </w:p>
        </w:tc>
      </w:tr>
      <w:tr>
        <w:tc>
          <w:tcPr>
            <w:tcW w:w="255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87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969" w:type="dxa"/>
            <w:tcBorders>
              <w:top w:val="nil"/>
              <w:left w:val="nil"/>
              <w:bottom w:val="nil"/>
              <w:right w:val="nil"/>
            </w:tcBorders>
          </w:tcPr>
          <w:p>
            <w:pPr>
              <w:pStyle w:val="0"/>
            </w:pPr>
            <w:r>
              <w:rPr>
                <w:sz w:val="24"/>
              </w:rPr>
            </w:r>
          </w:p>
        </w:tc>
      </w:tr>
      <w:tr>
        <w:tc>
          <w:tcPr>
            <w:tcW w:w="2551" w:type="dxa"/>
            <w:tcBorders>
              <w:top w:val="single" w:sz="4"/>
              <w:left w:val="nil"/>
              <w:bottom w:val="nil"/>
              <w:right w:val="nil"/>
            </w:tcBorders>
          </w:tcPr>
          <w:p>
            <w:pPr>
              <w:pStyle w:val="0"/>
              <w:jc w:val="center"/>
            </w:pPr>
            <w:r>
              <w:rPr>
                <w:sz w:val="24"/>
              </w:rPr>
              <w:t xml:space="preserve">(дата)</w:t>
            </w:r>
          </w:p>
        </w:tc>
        <w:tc>
          <w:tcPr>
            <w:tcW w:w="340" w:type="dxa"/>
            <w:tcBorders>
              <w:top w:val="nil"/>
              <w:left w:val="nil"/>
              <w:bottom w:val="nil"/>
              <w:right w:val="nil"/>
            </w:tcBorders>
          </w:tcPr>
          <w:p>
            <w:pPr>
              <w:pStyle w:val="0"/>
            </w:pPr>
            <w:r>
              <w:rPr>
                <w:sz w:val="24"/>
              </w:rPr>
            </w:r>
          </w:p>
        </w:tc>
        <w:tc>
          <w:tcPr>
            <w:tcW w:w="187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969"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выдачи в органах военной</w:t>
      </w:r>
    </w:p>
    <w:p>
      <w:pPr>
        <w:pStyle w:val="0"/>
        <w:jc w:val="right"/>
      </w:pPr>
      <w:r>
        <w:rPr>
          <w:sz w:val="24"/>
        </w:rPr>
        <w:t xml:space="preserve">прокуратуры справки о подтверждении</w:t>
      </w:r>
    </w:p>
    <w:p>
      <w:pPr>
        <w:pStyle w:val="0"/>
        <w:jc w:val="right"/>
      </w:pPr>
      <w:r>
        <w:rPr>
          <w:sz w:val="24"/>
        </w:rPr>
        <w:t xml:space="preserve">факта участия в специальной военной</w:t>
      </w:r>
    </w:p>
    <w:p>
      <w:pPr>
        <w:pStyle w:val="0"/>
        <w:jc w:val="right"/>
      </w:pPr>
      <w:r>
        <w:rPr>
          <w:sz w:val="24"/>
        </w:rPr>
        <w:t xml:space="preserve">операции на территориях Украины,</w:t>
      </w:r>
    </w:p>
    <w:p>
      <w:pPr>
        <w:pStyle w:val="0"/>
        <w:jc w:val="right"/>
      </w:pPr>
      <w:r>
        <w:rPr>
          <w:sz w:val="24"/>
        </w:rPr>
        <w:t xml:space="preserve">Донецкой Народной Республики, Луганской</w:t>
      </w:r>
    </w:p>
    <w:p>
      <w:pPr>
        <w:pStyle w:val="0"/>
        <w:jc w:val="right"/>
      </w:pPr>
      <w:r>
        <w:rPr>
          <w:sz w:val="24"/>
        </w:rPr>
        <w:t xml:space="preserve">Народной Республики, Запорожской области</w:t>
      </w:r>
    </w:p>
    <w:p>
      <w:pPr>
        <w:pStyle w:val="0"/>
        <w:jc w:val="right"/>
      </w:pPr>
      <w:r>
        <w:rPr>
          <w:sz w:val="24"/>
        </w:rPr>
        <w:t xml:space="preserve">и Херсонской области участникам</w:t>
      </w:r>
    </w:p>
    <w:p>
      <w:pPr>
        <w:pStyle w:val="0"/>
        <w:jc w:val="right"/>
      </w:pPr>
      <w:r>
        <w:rPr>
          <w:sz w:val="24"/>
        </w:rPr>
        <w:t xml:space="preserve">специальной военной операции</w:t>
      </w:r>
    </w:p>
    <w:p>
      <w:pPr>
        <w:pStyle w:val="0"/>
        <w:jc w:val="right"/>
      </w:pPr>
      <w:r>
        <w:rPr>
          <w:sz w:val="24"/>
        </w:rPr>
        <w:t xml:space="preserve">и (или) членам их семей</w:t>
      </w:r>
    </w:p>
    <w:p>
      <w:pPr>
        <w:pStyle w:val="0"/>
        <w:jc w:val="both"/>
      </w:pPr>
      <w:r>
        <w:rPr>
          <w:sz w:val="24"/>
        </w:rPr>
      </w:r>
    </w:p>
    <w:tbl>
      <w:tblPr>
        <w:tblInd w:w="0" w:type="dxa"/>
        <w:tblLayout w:type="fixed"/>
        <w:tblCellMar>
          <w:top w:w="102" w:type="dxa"/>
          <w:left w:w="62" w:type="dxa"/>
          <w:bottom w:w="102" w:type="dxa"/>
          <w:right w:w="62" w:type="dxa"/>
        </w:tblCellMar>
      </w:tblPr>
      <w:tblGrid>
        <w:gridCol w:w="4535"/>
        <w:gridCol w:w="555"/>
        <w:gridCol w:w="450"/>
        <w:gridCol w:w="1321"/>
        <w:gridCol w:w="361"/>
        <w:gridCol w:w="1517"/>
        <w:gridCol w:w="340"/>
      </w:tblGrid>
      <w:tr>
        <w:tc>
          <w:tcPr>
            <w:tcW w:w="4535" w:type="dxa"/>
            <w:tcBorders>
              <w:top w:val="nil"/>
              <w:left w:val="nil"/>
              <w:bottom w:val="nil"/>
              <w:right w:val="nil"/>
            </w:tcBorders>
          </w:tcPr>
          <w:p>
            <w:pPr>
              <w:pStyle w:val="0"/>
            </w:pPr>
            <w:r>
              <w:rPr>
                <w:sz w:val="24"/>
              </w:rPr>
            </w:r>
          </w:p>
        </w:tc>
        <w:tc>
          <w:tcPr>
            <w:gridSpan w:val="6"/>
            <w:tcW w:w="4544" w:type="dxa"/>
            <w:tcBorders>
              <w:top w:val="nil"/>
              <w:left w:val="nil"/>
              <w:bottom w:val="nil"/>
              <w:right w:val="nil"/>
            </w:tcBorders>
          </w:tcPr>
          <w:p>
            <w:pPr>
              <w:pStyle w:val="0"/>
              <w:jc w:val="both"/>
            </w:pPr>
            <w:r>
              <w:rPr>
                <w:sz w:val="24"/>
              </w:rPr>
              <w:t xml:space="preserve">Начальнику управления кадров Главной военной прокуратуры (руководителю кадрового подразделения военной прокуратуры окружного звена) __________</w:t>
            </w:r>
          </w:p>
        </w:tc>
      </w:tr>
      <w:tr>
        <w:tc>
          <w:tcPr>
            <w:tcW w:w="4535" w:type="dxa"/>
            <w:tcBorders>
              <w:top w:val="nil"/>
              <w:left w:val="nil"/>
              <w:bottom w:val="nil"/>
              <w:right w:val="nil"/>
            </w:tcBorders>
          </w:tcPr>
          <w:p>
            <w:pPr>
              <w:pStyle w:val="0"/>
            </w:pPr>
            <w:r>
              <w:rPr>
                <w:sz w:val="24"/>
              </w:rPr>
            </w:r>
          </w:p>
        </w:tc>
        <w:tc>
          <w:tcPr>
            <w:gridSpan w:val="6"/>
            <w:tcW w:w="4544"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tcW w:w="555" w:type="dxa"/>
            <w:vAlign w:val="bottom"/>
            <w:tcBorders>
              <w:top w:val="single" w:sz="4"/>
              <w:left w:val="nil"/>
              <w:bottom w:val="nil"/>
              <w:right w:val="nil"/>
            </w:tcBorders>
          </w:tcPr>
          <w:p>
            <w:pPr>
              <w:pStyle w:val="0"/>
              <w:jc w:val="both"/>
            </w:pPr>
            <w:r>
              <w:rPr>
                <w:sz w:val="24"/>
              </w:rPr>
              <w:t xml:space="preserve">от</w:t>
            </w:r>
          </w:p>
        </w:tc>
        <w:tc>
          <w:tcPr>
            <w:gridSpan w:val="4"/>
            <w:tcW w:w="3649" w:type="dxa"/>
            <w:tcBorders>
              <w:top w:val="single" w:sz="4"/>
              <w:left w:val="nil"/>
              <w:bottom w:val="single" w:sz="4"/>
              <w:right w:val="nil"/>
            </w:tcBorders>
          </w:tcPr>
          <w:p>
            <w:pPr>
              <w:pStyle w:val="0"/>
            </w:pPr>
            <w:r>
              <w:rPr>
                <w:sz w:val="24"/>
              </w:rPr>
            </w:r>
          </w:p>
        </w:tc>
        <w:tc>
          <w:tcPr>
            <w:tcW w:w="340" w:type="dxa"/>
            <w:vAlign w:val="bottom"/>
            <w:tcBorders>
              <w:top w:val="single" w:sz="4"/>
              <w:left w:val="nil"/>
              <w:bottom w:val="nil"/>
              <w:right w:val="nil"/>
            </w:tcBorders>
          </w:tcPr>
          <w:p>
            <w:pPr>
              <w:pStyle w:val="0"/>
            </w:pPr>
            <w:r>
              <w:rPr>
                <w:sz w:val="24"/>
              </w:rPr>
              <w:t xml:space="preserve">,</w:t>
            </w:r>
          </w:p>
        </w:tc>
      </w:tr>
      <w:tr>
        <w:tc>
          <w:tcPr>
            <w:tcW w:w="4535" w:type="dxa"/>
            <w:tcBorders>
              <w:top w:val="nil"/>
              <w:left w:val="nil"/>
              <w:bottom w:val="nil"/>
              <w:right w:val="nil"/>
            </w:tcBorders>
          </w:tcPr>
          <w:p>
            <w:pPr>
              <w:pStyle w:val="0"/>
            </w:pPr>
            <w:r>
              <w:rPr>
                <w:sz w:val="24"/>
              </w:rPr>
            </w:r>
          </w:p>
        </w:tc>
        <w:tc>
          <w:tcPr>
            <w:tcW w:w="555" w:type="dxa"/>
            <w:tcBorders>
              <w:top w:val="nil"/>
              <w:left w:val="nil"/>
              <w:bottom w:val="nil"/>
              <w:right w:val="nil"/>
            </w:tcBorders>
          </w:tcPr>
          <w:p>
            <w:pPr>
              <w:pStyle w:val="0"/>
            </w:pPr>
            <w:r>
              <w:rPr>
                <w:sz w:val="24"/>
              </w:rPr>
            </w:r>
          </w:p>
        </w:tc>
        <w:tc>
          <w:tcPr>
            <w:gridSpan w:val="4"/>
            <w:tcW w:w="3649" w:type="dxa"/>
            <w:tcBorders>
              <w:top w:val="single" w:sz="4"/>
              <w:left w:val="nil"/>
              <w:bottom w:val="nil"/>
              <w:right w:val="nil"/>
            </w:tcBorders>
          </w:tcPr>
          <w:p>
            <w:pPr>
              <w:pStyle w:val="0"/>
              <w:jc w:val="center"/>
            </w:pPr>
            <w:r>
              <w:rPr>
                <w:sz w:val="24"/>
              </w:rPr>
              <w:t xml:space="preserve">(фамилия, имя, отчество (при наличии)</w:t>
            </w:r>
          </w:p>
        </w:tc>
        <w:tc>
          <w:tcPr>
            <w:tcW w:w="340" w:type="dxa"/>
            <w:tcBorders>
              <w:top w:val="nil"/>
              <w:left w:val="nil"/>
              <w:bottom w:val="nil"/>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4"/>
            <w:tcW w:w="2687" w:type="dxa"/>
            <w:vAlign w:val="bottom"/>
            <w:tcBorders>
              <w:top w:val="nil"/>
              <w:left w:val="nil"/>
              <w:bottom w:val="nil"/>
              <w:right w:val="nil"/>
            </w:tcBorders>
          </w:tcPr>
          <w:p>
            <w:pPr>
              <w:pStyle w:val="0"/>
              <w:jc w:val="both"/>
            </w:pPr>
            <w:r>
              <w:rPr>
                <w:sz w:val="24"/>
              </w:rPr>
              <w:t xml:space="preserve">зарегистированного(ой)</w:t>
            </w:r>
          </w:p>
        </w:tc>
        <w:tc>
          <w:tcPr>
            <w:gridSpan w:val="2"/>
            <w:tcW w:w="1857"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6"/>
            <w:tcW w:w="4544"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2"/>
            <w:tcW w:w="1005" w:type="dxa"/>
            <w:vAlign w:val="bottom"/>
            <w:tcBorders>
              <w:top w:val="single" w:sz="4"/>
              <w:left w:val="nil"/>
              <w:bottom w:val="nil"/>
              <w:right w:val="nil"/>
            </w:tcBorders>
          </w:tcPr>
          <w:p>
            <w:pPr>
              <w:pStyle w:val="0"/>
              <w:jc w:val="both"/>
            </w:pPr>
            <w:r>
              <w:rPr>
                <w:sz w:val="24"/>
              </w:rPr>
              <w:t xml:space="preserve">паспорт</w:t>
            </w:r>
          </w:p>
        </w:tc>
        <w:tc>
          <w:tcPr>
            <w:gridSpan w:val="4"/>
            <w:tcW w:w="3539" w:type="dxa"/>
            <w:tcBorders>
              <w:top w:val="single" w:sz="4"/>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2"/>
            <w:tcW w:w="1005" w:type="dxa"/>
            <w:tcBorders>
              <w:top w:val="nil"/>
              <w:left w:val="nil"/>
              <w:bottom w:val="nil"/>
              <w:right w:val="nil"/>
            </w:tcBorders>
          </w:tcPr>
          <w:p>
            <w:pPr>
              <w:pStyle w:val="0"/>
            </w:pPr>
            <w:r>
              <w:rPr>
                <w:sz w:val="24"/>
              </w:rPr>
            </w:r>
          </w:p>
        </w:tc>
        <w:tc>
          <w:tcPr>
            <w:gridSpan w:val="4"/>
            <w:tcW w:w="3539" w:type="dxa"/>
            <w:tcBorders>
              <w:top w:val="single" w:sz="4"/>
              <w:left w:val="nil"/>
              <w:bottom w:val="nil"/>
              <w:right w:val="nil"/>
            </w:tcBorders>
          </w:tcPr>
          <w:p>
            <w:pPr>
              <w:pStyle w:val="0"/>
              <w:jc w:val="center"/>
            </w:pPr>
            <w:r>
              <w:rPr>
                <w:sz w:val="24"/>
              </w:rPr>
              <w:t xml:space="preserve">(серия, номер, когда и кем выдан)</w:t>
            </w:r>
          </w:p>
        </w:tc>
      </w:tr>
      <w:tr>
        <w:tc>
          <w:tcPr>
            <w:tcW w:w="4535" w:type="dxa"/>
            <w:tcBorders>
              <w:top w:val="nil"/>
              <w:left w:val="nil"/>
              <w:bottom w:val="nil"/>
              <w:right w:val="nil"/>
            </w:tcBorders>
          </w:tcPr>
          <w:p>
            <w:pPr>
              <w:pStyle w:val="0"/>
            </w:pPr>
            <w:r>
              <w:rPr>
                <w:sz w:val="24"/>
              </w:rPr>
            </w:r>
          </w:p>
        </w:tc>
        <w:tc>
          <w:tcPr>
            <w:gridSpan w:val="3"/>
            <w:tcW w:w="2326" w:type="dxa"/>
            <w:vAlign w:val="bottom"/>
            <w:tcBorders>
              <w:top w:val="nil"/>
              <w:left w:val="nil"/>
              <w:bottom w:val="nil"/>
              <w:right w:val="nil"/>
            </w:tcBorders>
          </w:tcPr>
          <w:p>
            <w:pPr>
              <w:pStyle w:val="0"/>
              <w:jc w:val="both"/>
            </w:pPr>
            <w:r>
              <w:rPr>
                <w:sz w:val="24"/>
              </w:rPr>
              <w:t xml:space="preserve">контактный телефон</w:t>
            </w:r>
          </w:p>
        </w:tc>
        <w:tc>
          <w:tcPr>
            <w:gridSpan w:val="3"/>
            <w:tcW w:w="221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207" w:name="P207"/>
          <w:bookmarkEnd w:id="207"/>
          <w:p>
            <w:pPr>
              <w:pStyle w:val="0"/>
              <w:jc w:val="center"/>
            </w:pPr>
            <w:r>
              <w:rPr>
                <w:sz w:val="24"/>
              </w:rPr>
              <w:t xml:space="preserve">ЗАЯВЛЕНИЕ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89"/>
        <w:gridCol w:w="8037"/>
        <w:gridCol w:w="345"/>
      </w:tblGrid>
      <w:tr>
        <w:tc>
          <w:tcPr>
            <w:gridSpan w:val="3"/>
            <w:tcW w:w="9071" w:type="dxa"/>
            <w:tcBorders>
              <w:top w:val="nil"/>
              <w:left w:val="nil"/>
              <w:bottom w:val="nil"/>
              <w:right w:val="nil"/>
            </w:tcBorders>
          </w:tcPr>
          <w:p>
            <w:pPr>
              <w:pStyle w:val="0"/>
              <w:ind w:firstLine="283"/>
              <w:jc w:val="both"/>
            </w:pPr>
            <w:r>
              <w:rPr>
                <w:sz w:val="24"/>
              </w:rPr>
              <w:t xml:space="preserve">В соответствии с </w:t>
            </w:r>
            <w:hyperlink w:history="0" r:id="rId14"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пунктом 1</w:t>
              </w:r>
            </w:hyperlink>
            <w:r>
              <w:rPr>
                <w:sz w:val="24"/>
              </w:rPr>
              <w:t xml:space="preserve"> постановления Правительства Российской Федерации от 9 октября 2024 г. N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прошу выдать мне справку о подтверждении факта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предусмотренную для члена семьи участника специальной военной операции.</w:t>
            </w:r>
          </w:p>
          <w:p>
            <w:pPr>
              <w:pStyle w:val="0"/>
              <w:ind w:firstLine="283"/>
              <w:jc w:val="both"/>
            </w:pPr>
            <w:r>
              <w:rPr>
                <w:sz w:val="24"/>
              </w:rPr>
              <w:t xml:space="preserve">Являюсь членом семьи</w:t>
            </w:r>
          </w:p>
        </w:tc>
      </w:tr>
      <w:tr>
        <w:tc>
          <w:tcPr>
            <w:gridSpan w:val="2"/>
            <w:tcW w:w="8726" w:type="dxa"/>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t xml:space="preserve">,</w:t>
            </w:r>
          </w:p>
        </w:tc>
      </w:tr>
      <w:tr>
        <w:tc>
          <w:tcPr>
            <w:gridSpan w:val="2"/>
            <w:tcW w:w="8726" w:type="dxa"/>
            <w:tcBorders>
              <w:top w:val="single" w:sz="4"/>
              <w:left w:val="nil"/>
              <w:bottom w:val="nil"/>
              <w:right w:val="nil"/>
            </w:tcBorders>
          </w:tcPr>
          <w:p>
            <w:pPr>
              <w:pStyle w:val="0"/>
              <w:jc w:val="center"/>
            </w:pPr>
            <w:r>
              <w:rPr>
                <w:sz w:val="24"/>
              </w:rPr>
              <w:t xml:space="preserve">(указываются фамилия, имя и отчество участника специальной военной операции, степень родства)</w:t>
            </w:r>
          </w:p>
        </w:tc>
        <w:tc>
          <w:tcPr>
            <w:tcW w:w="345" w:type="dxa"/>
            <w:tcBorders>
              <w:top w:val="nil"/>
              <w:left w:val="nil"/>
              <w:bottom w:val="nil"/>
              <w:right w:val="nil"/>
            </w:tcBorders>
          </w:tcPr>
          <w:p>
            <w:pPr>
              <w:pStyle w:val="0"/>
            </w:pPr>
            <w:r>
              <w:rPr>
                <w:sz w:val="24"/>
              </w:rPr>
            </w:r>
          </w:p>
        </w:tc>
      </w:tr>
      <w:tr>
        <w:tc>
          <w:tcPr>
            <w:gridSpan w:val="3"/>
            <w:tcW w:w="9071" w:type="dxa"/>
            <w:tcBorders>
              <w:top w:val="nil"/>
              <w:left w:val="nil"/>
              <w:bottom w:val="nil"/>
              <w:right w:val="nil"/>
            </w:tcBorders>
          </w:tcPr>
          <w:p>
            <w:pPr>
              <w:pStyle w:val="0"/>
              <w:jc w:val="both"/>
            </w:pPr>
            <w:r>
              <w:rPr>
                <w:sz w:val="24"/>
              </w:rPr>
              <w:t xml:space="preserve">проходящего (проходившего) военную службу (службу) (замещающего (замещавшего) должность федеральной государственной гражданской службы, осуществляющего (осуществлявшего) трудовую деятельность, командировавшегося)</w:t>
            </w:r>
          </w:p>
        </w:tc>
      </w:tr>
      <w:tr>
        <w:tc>
          <w:tcPr>
            <w:gridSpan w:val="2"/>
            <w:tcW w:w="8726" w:type="dxa"/>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t xml:space="preserve">.</w:t>
            </w:r>
          </w:p>
        </w:tc>
      </w:tr>
      <w:tr>
        <w:tc>
          <w:tcPr>
            <w:gridSpan w:val="2"/>
            <w:tcW w:w="8726" w:type="dxa"/>
            <w:tcBorders>
              <w:top w:val="single" w:sz="4"/>
              <w:left w:val="nil"/>
              <w:bottom w:val="nil"/>
              <w:right w:val="nil"/>
            </w:tcBorders>
          </w:tcPr>
          <w:p>
            <w:pPr>
              <w:pStyle w:val="0"/>
              <w:jc w:val="center"/>
            </w:pPr>
            <w:r>
              <w:rPr>
                <w:sz w:val="24"/>
              </w:rPr>
              <w:t xml:space="preserve">(указывается наименование военной прокуратуры, воинской части, организации)</w:t>
            </w:r>
          </w:p>
        </w:tc>
        <w:tc>
          <w:tcPr>
            <w:tcW w:w="345" w:type="dxa"/>
            <w:tcBorders>
              <w:top w:val="nil"/>
              <w:left w:val="nil"/>
              <w:bottom w:val="nil"/>
              <w:right w:val="nil"/>
            </w:tcBorders>
          </w:tcPr>
          <w:p>
            <w:pPr>
              <w:pStyle w:val="0"/>
            </w:pPr>
            <w:r>
              <w:rPr>
                <w:sz w:val="24"/>
              </w:rPr>
            </w:r>
          </w:p>
        </w:tc>
      </w:tr>
      <w:tr>
        <w:tc>
          <w:tcPr>
            <w:gridSpan w:val="3"/>
            <w:tcW w:w="9071" w:type="dxa"/>
            <w:vAlign w:val="bottom"/>
            <w:tcBorders>
              <w:top w:val="nil"/>
              <w:left w:val="nil"/>
              <w:bottom w:val="nil"/>
              <w:right w:val="nil"/>
            </w:tcBorders>
          </w:tcPr>
          <w:p>
            <w:pPr>
              <w:pStyle w:val="0"/>
              <w:ind w:firstLine="283"/>
              <w:jc w:val="both"/>
            </w:pPr>
            <w:r>
              <w:rPr>
                <w:sz w:val="24"/>
              </w:rPr>
              <w:t xml:space="preserve">К заявлению прилагаю:</w:t>
            </w:r>
          </w:p>
        </w:tc>
      </w:tr>
      <w:tr>
        <w:tc>
          <w:tcPr>
            <w:tcW w:w="689" w:type="dxa"/>
            <w:vAlign w:val="bottom"/>
            <w:tcBorders>
              <w:top w:val="nil"/>
              <w:left w:val="nil"/>
              <w:bottom w:val="nil"/>
              <w:right w:val="nil"/>
            </w:tcBorders>
          </w:tcPr>
          <w:p>
            <w:pPr>
              <w:pStyle w:val="0"/>
              <w:ind w:firstLine="283"/>
              <w:jc w:val="both"/>
            </w:pPr>
            <w:r>
              <w:rPr>
                <w:sz w:val="24"/>
              </w:rPr>
              <w:t xml:space="preserve">1.</w:t>
            </w:r>
          </w:p>
        </w:tc>
        <w:tc>
          <w:tcPr>
            <w:tcW w:w="8037" w:type="dxa"/>
            <w:vAlign w:val="bottom"/>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t xml:space="preserve">.</w:t>
            </w:r>
          </w:p>
        </w:tc>
      </w:tr>
      <w:tr>
        <w:tc>
          <w:tcPr>
            <w:tcW w:w="689" w:type="dxa"/>
            <w:vAlign w:val="bottom"/>
            <w:tcBorders>
              <w:top w:val="nil"/>
              <w:left w:val="nil"/>
              <w:bottom w:val="nil"/>
              <w:right w:val="nil"/>
            </w:tcBorders>
          </w:tcPr>
          <w:p>
            <w:pPr>
              <w:pStyle w:val="0"/>
              <w:ind w:firstLine="283"/>
              <w:jc w:val="both"/>
            </w:pPr>
            <w:r>
              <w:rPr>
                <w:sz w:val="24"/>
              </w:rPr>
              <w:t xml:space="preserve">2.</w:t>
            </w:r>
          </w:p>
        </w:tc>
        <w:tc>
          <w:tcPr>
            <w:tcW w:w="8037" w:type="dxa"/>
            <w:vAlign w:val="bottom"/>
            <w:tcBorders>
              <w:top w:val="single" w:sz="4"/>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pPr>
            <w:r>
              <w:rPr>
                <w:sz w:val="24"/>
              </w:rPr>
              <w:t xml:space="preserve">.</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154"/>
        <w:gridCol w:w="374"/>
        <w:gridCol w:w="2380"/>
        <w:gridCol w:w="340"/>
        <w:gridCol w:w="3798"/>
      </w:tblGrid>
      <w:tr>
        <w:tc>
          <w:tcPr>
            <w:tcW w:w="2154" w:type="dxa"/>
            <w:tcBorders>
              <w:top w:val="nil"/>
              <w:left w:val="nil"/>
              <w:bottom w:val="nil"/>
              <w:right w:val="nil"/>
            </w:tcBorders>
          </w:tcPr>
          <w:p>
            <w:pPr>
              <w:pStyle w:val="0"/>
            </w:pPr>
            <w:r>
              <w:rPr>
                <w:sz w:val="24"/>
              </w:rPr>
            </w:r>
          </w:p>
        </w:tc>
        <w:tc>
          <w:tcPr>
            <w:tcW w:w="374" w:type="dxa"/>
            <w:tcBorders>
              <w:top w:val="nil"/>
              <w:left w:val="nil"/>
              <w:bottom w:val="nil"/>
              <w:right w:val="nil"/>
            </w:tcBorders>
          </w:tcPr>
          <w:p>
            <w:pPr>
              <w:pStyle w:val="0"/>
            </w:pPr>
            <w:r>
              <w:rPr>
                <w:sz w:val="24"/>
              </w:rPr>
            </w:r>
          </w:p>
        </w:tc>
        <w:tc>
          <w:tcPr>
            <w:tcW w:w="2380"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798" w:type="dxa"/>
            <w:tcBorders>
              <w:top w:val="nil"/>
              <w:left w:val="nil"/>
              <w:bottom w:val="single" w:sz="4"/>
              <w:right w:val="nil"/>
            </w:tcBorders>
          </w:tcPr>
          <w:p>
            <w:pPr>
              <w:pStyle w:val="0"/>
            </w:pPr>
            <w:r>
              <w:rPr>
                <w:sz w:val="24"/>
              </w:rPr>
            </w:r>
          </w:p>
        </w:tc>
      </w:tr>
      <w:tr>
        <w:tc>
          <w:tcPr>
            <w:tcW w:w="2154" w:type="dxa"/>
            <w:tcBorders>
              <w:top w:val="nil"/>
              <w:left w:val="nil"/>
              <w:bottom w:val="nil"/>
              <w:right w:val="nil"/>
            </w:tcBorders>
          </w:tcPr>
          <w:p>
            <w:pPr>
              <w:pStyle w:val="0"/>
            </w:pPr>
            <w:r>
              <w:rPr>
                <w:sz w:val="24"/>
              </w:rPr>
            </w:r>
          </w:p>
        </w:tc>
        <w:tc>
          <w:tcPr>
            <w:tcW w:w="374" w:type="dxa"/>
            <w:tcBorders>
              <w:top w:val="nil"/>
              <w:left w:val="nil"/>
              <w:bottom w:val="nil"/>
              <w:right w:val="nil"/>
            </w:tcBorders>
          </w:tcPr>
          <w:p>
            <w:pPr>
              <w:pStyle w:val="0"/>
            </w:pPr>
            <w:r>
              <w:rPr>
                <w:sz w:val="24"/>
              </w:rPr>
            </w:r>
          </w:p>
        </w:tc>
        <w:tc>
          <w:tcPr>
            <w:tcW w:w="2380"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3798" w:type="dxa"/>
            <w:tcBorders>
              <w:top w:val="single" w:sz="4"/>
              <w:left w:val="nil"/>
              <w:bottom w:val="nil"/>
              <w:right w:val="nil"/>
            </w:tcBorders>
          </w:tcPr>
          <w:p>
            <w:pPr>
              <w:pStyle w:val="0"/>
              <w:jc w:val="center"/>
            </w:pPr>
            <w:r>
              <w:rPr>
                <w:sz w:val="24"/>
              </w:rPr>
              <w:t xml:space="preserve">(инициалы и фамилия заявителя (его представителя)</w:t>
            </w:r>
          </w:p>
        </w:tc>
      </w:tr>
      <w:tr>
        <w:tc>
          <w:tcPr>
            <w:tcW w:w="2154" w:type="dxa"/>
            <w:tcBorders>
              <w:top w:val="nil"/>
              <w:left w:val="nil"/>
              <w:bottom w:val="single" w:sz="4"/>
              <w:right w:val="nil"/>
            </w:tcBorders>
          </w:tcPr>
          <w:p>
            <w:pPr>
              <w:pStyle w:val="0"/>
            </w:pPr>
            <w:r>
              <w:rPr>
                <w:sz w:val="24"/>
              </w:rPr>
            </w:r>
          </w:p>
        </w:tc>
        <w:tc>
          <w:tcPr>
            <w:tcW w:w="374" w:type="dxa"/>
            <w:tcBorders>
              <w:top w:val="nil"/>
              <w:left w:val="nil"/>
              <w:bottom w:val="nil"/>
              <w:right w:val="nil"/>
            </w:tcBorders>
          </w:tcPr>
          <w:p>
            <w:pPr>
              <w:pStyle w:val="0"/>
            </w:pPr>
            <w:r>
              <w:rPr>
                <w:sz w:val="24"/>
              </w:rPr>
            </w:r>
          </w:p>
        </w:tc>
        <w:tc>
          <w:tcPr>
            <w:tcW w:w="2380"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798" w:type="dxa"/>
            <w:tcBorders>
              <w:top w:val="nil"/>
              <w:left w:val="nil"/>
              <w:bottom w:val="nil"/>
              <w:right w:val="nil"/>
            </w:tcBorders>
          </w:tcPr>
          <w:p>
            <w:pPr>
              <w:pStyle w:val="0"/>
            </w:pPr>
            <w:r>
              <w:rPr>
                <w:sz w:val="24"/>
              </w:rPr>
            </w:r>
          </w:p>
        </w:tc>
      </w:tr>
      <w:tr>
        <w:tc>
          <w:tcPr>
            <w:tcW w:w="2154" w:type="dxa"/>
            <w:tcBorders>
              <w:top w:val="single" w:sz="4"/>
              <w:left w:val="nil"/>
              <w:bottom w:val="nil"/>
              <w:right w:val="nil"/>
            </w:tcBorders>
          </w:tcPr>
          <w:p>
            <w:pPr>
              <w:pStyle w:val="0"/>
              <w:jc w:val="center"/>
            </w:pPr>
            <w:r>
              <w:rPr>
                <w:sz w:val="24"/>
              </w:rPr>
              <w:t xml:space="preserve">(дата)</w:t>
            </w:r>
          </w:p>
        </w:tc>
        <w:tc>
          <w:tcPr>
            <w:tcW w:w="374" w:type="dxa"/>
            <w:tcBorders>
              <w:top w:val="nil"/>
              <w:left w:val="nil"/>
              <w:bottom w:val="nil"/>
              <w:right w:val="nil"/>
            </w:tcBorders>
          </w:tcPr>
          <w:p>
            <w:pPr>
              <w:pStyle w:val="0"/>
            </w:pPr>
            <w:r>
              <w:rPr>
                <w:sz w:val="24"/>
              </w:rPr>
            </w:r>
          </w:p>
        </w:tc>
        <w:tc>
          <w:tcPr>
            <w:tcW w:w="2380"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798"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выдачи в органах военной</w:t>
      </w:r>
    </w:p>
    <w:p>
      <w:pPr>
        <w:pStyle w:val="0"/>
        <w:jc w:val="right"/>
      </w:pPr>
      <w:r>
        <w:rPr>
          <w:sz w:val="24"/>
        </w:rPr>
        <w:t xml:space="preserve">прокуратуры справки о подтверждении</w:t>
      </w:r>
    </w:p>
    <w:p>
      <w:pPr>
        <w:pStyle w:val="0"/>
        <w:jc w:val="right"/>
      </w:pPr>
      <w:r>
        <w:rPr>
          <w:sz w:val="24"/>
        </w:rPr>
        <w:t xml:space="preserve">факта участия в специальной военной</w:t>
      </w:r>
    </w:p>
    <w:p>
      <w:pPr>
        <w:pStyle w:val="0"/>
        <w:jc w:val="right"/>
      </w:pPr>
      <w:r>
        <w:rPr>
          <w:sz w:val="24"/>
        </w:rPr>
        <w:t xml:space="preserve">операции на территориях Украины,</w:t>
      </w:r>
    </w:p>
    <w:p>
      <w:pPr>
        <w:pStyle w:val="0"/>
        <w:jc w:val="right"/>
      </w:pPr>
      <w:r>
        <w:rPr>
          <w:sz w:val="24"/>
        </w:rPr>
        <w:t xml:space="preserve">Донецкой Народной Республики, Луганской</w:t>
      </w:r>
    </w:p>
    <w:p>
      <w:pPr>
        <w:pStyle w:val="0"/>
        <w:jc w:val="right"/>
      </w:pPr>
      <w:r>
        <w:rPr>
          <w:sz w:val="24"/>
        </w:rPr>
        <w:t xml:space="preserve">Народной Республики, Запорожской области</w:t>
      </w:r>
    </w:p>
    <w:p>
      <w:pPr>
        <w:pStyle w:val="0"/>
        <w:jc w:val="right"/>
      </w:pPr>
      <w:r>
        <w:rPr>
          <w:sz w:val="24"/>
        </w:rPr>
        <w:t xml:space="preserve">и Херсонской области участникам</w:t>
      </w:r>
    </w:p>
    <w:p>
      <w:pPr>
        <w:pStyle w:val="0"/>
        <w:jc w:val="right"/>
      </w:pPr>
      <w:r>
        <w:rPr>
          <w:sz w:val="24"/>
        </w:rPr>
        <w:t xml:space="preserve">специальной военной операции</w:t>
      </w:r>
    </w:p>
    <w:p>
      <w:pPr>
        <w:pStyle w:val="0"/>
        <w:jc w:val="right"/>
      </w:pPr>
      <w:r>
        <w:rPr>
          <w:sz w:val="24"/>
        </w:rPr>
        <w:t xml:space="preserve">и (или) членам их семей</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264" w:name="P264"/>
          <w:bookmarkEnd w:id="264"/>
          <w:p>
            <w:pPr>
              <w:pStyle w:val="0"/>
              <w:jc w:val="center"/>
            </w:pPr>
            <w:r>
              <w:rPr>
                <w:sz w:val="24"/>
              </w:rPr>
              <w:t xml:space="preserve">СОГЛАСИЕ</w:t>
            </w:r>
          </w:p>
          <w:p>
            <w:pPr>
              <w:pStyle w:val="0"/>
              <w:jc w:val="center"/>
            </w:pPr>
            <w:r>
              <w:rPr>
                <w:sz w:val="24"/>
              </w:rPr>
              <w:t xml:space="preserve">на обработку персональных данных</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64"/>
        <w:gridCol w:w="270"/>
        <w:gridCol w:w="630"/>
        <w:gridCol w:w="1649"/>
        <w:gridCol w:w="855"/>
        <w:gridCol w:w="465"/>
        <w:gridCol w:w="915"/>
        <w:gridCol w:w="340"/>
        <w:gridCol w:w="680"/>
        <w:gridCol w:w="375"/>
      </w:tblGrid>
      <w:tr>
        <w:tc>
          <w:tcPr>
            <w:gridSpan w:val="9"/>
            <w:tcW w:w="8668" w:type="dxa"/>
            <w:tcBorders>
              <w:top w:val="nil"/>
              <w:left w:val="nil"/>
              <w:bottom w:val="single" w:sz="4"/>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w:t>
            </w:r>
          </w:p>
        </w:tc>
      </w:tr>
      <w:tr>
        <w:tc>
          <w:tcPr>
            <w:gridSpan w:val="9"/>
            <w:tcW w:w="8668" w:type="dxa"/>
            <w:tcBorders>
              <w:top w:val="single" w:sz="4"/>
              <w:left w:val="nil"/>
              <w:bottom w:val="nil"/>
              <w:right w:val="nil"/>
            </w:tcBorders>
          </w:tcPr>
          <w:p>
            <w:pPr>
              <w:pStyle w:val="0"/>
              <w:jc w:val="center"/>
            </w:pPr>
            <w:r>
              <w:rPr>
                <w:sz w:val="24"/>
              </w:rPr>
              <w:t xml:space="preserve">(фамилия, имя, отчество (при наличии) лица, дающего согласие на обработку персональных данных)</w:t>
            </w:r>
          </w:p>
        </w:tc>
        <w:tc>
          <w:tcPr>
            <w:tcW w:w="375" w:type="dxa"/>
            <w:tcBorders>
              <w:top w:val="nil"/>
              <w:left w:val="nil"/>
              <w:bottom w:val="nil"/>
              <w:right w:val="nil"/>
            </w:tcBorders>
          </w:tcPr>
          <w:p>
            <w:pPr>
              <w:pStyle w:val="0"/>
            </w:pPr>
            <w:r>
              <w:rPr>
                <w:sz w:val="24"/>
              </w:rPr>
            </w:r>
          </w:p>
        </w:tc>
      </w:tr>
      <w:tr>
        <w:tc>
          <w:tcPr>
            <w:gridSpan w:val="3"/>
            <w:tcW w:w="3764" w:type="dxa"/>
            <w:vAlign w:val="bottom"/>
            <w:tcBorders>
              <w:top w:val="nil"/>
              <w:left w:val="nil"/>
              <w:bottom w:val="nil"/>
              <w:right w:val="nil"/>
            </w:tcBorders>
          </w:tcPr>
          <w:p>
            <w:pPr>
              <w:pStyle w:val="0"/>
            </w:pPr>
            <w:r>
              <w:rPr>
                <w:sz w:val="24"/>
              </w:rPr>
              <w:t xml:space="preserve">зарегистрированный(ая) по адресу:</w:t>
            </w:r>
          </w:p>
        </w:tc>
        <w:tc>
          <w:tcPr>
            <w:gridSpan w:val="7"/>
            <w:tcW w:w="5279" w:type="dxa"/>
            <w:tcBorders>
              <w:top w:val="nil"/>
              <w:left w:val="nil"/>
              <w:bottom w:val="single" w:sz="4"/>
              <w:right w:val="nil"/>
            </w:tcBorders>
          </w:tcPr>
          <w:p>
            <w:pPr>
              <w:pStyle w:val="0"/>
            </w:pPr>
            <w:r>
              <w:rPr>
                <w:sz w:val="24"/>
              </w:rPr>
            </w:r>
          </w:p>
        </w:tc>
      </w:tr>
      <w:tr>
        <w:tc>
          <w:tcPr>
            <w:gridSpan w:val="9"/>
            <w:tcW w:w="8668" w:type="dxa"/>
            <w:tcBorders>
              <w:top w:val="nil"/>
              <w:left w:val="nil"/>
              <w:bottom w:val="single" w:sz="4"/>
              <w:right w:val="nil"/>
            </w:tcBorders>
          </w:tcPr>
          <w:p>
            <w:pPr>
              <w:pStyle w:val="0"/>
            </w:pPr>
            <w:r>
              <w:rPr>
                <w:sz w:val="24"/>
              </w:rPr>
            </w:r>
          </w:p>
        </w:tc>
        <w:tc>
          <w:tcPr>
            <w:tcW w:w="375" w:type="dxa"/>
            <w:vAlign w:val="bottom"/>
            <w:tcBorders>
              <w:top w:val="single" w:sz="4"/>
              <w:left w:val="nil"/>
              <w:bottom w:val="nil"/>
              <w:right w:val="nil"/>
            </w:tcBorders>
          </w:tcPr>
          <w:p>
            <w:pPr>
              <w:pStyle w:val="0"/>
            </w:pPr>
            <w:r>
              <w:rPr>
                <w:sz w:val="24"/>
              </w:rPr>
              <w:t xml:space="preserve">,</w:t>
            </w:r>
          </w:p>
        </w:tc>
      </w:tr>
      <w:tr>
        <w:tc>
          <w:tcPr>
            <w:gridSpan w:val="9"/>
            <w:tcW w:w="8668" w:type="dxa"/>
            <w:tcBorders>
              <w:top w:val="single" w:sz="4"/>
              <w:left w:val="nil"/>
              <w:bottom w:val="nil"/>
              <w:right w:val="nil"/>
            </w:tcBorders>
          </w:tcPr>
          <w:p>
            <w:pPr>
              <w:pStyle w:val="0"/>
              <w:jc w:val="center"/>
            </w:pPr>
            <w:r>
              <w:rPr>
                <w:sz w:val="24"/>
              </w:rPr>
              <w:t xml:space="preserve">(адрес регистрации)</w:t>
            </w:r>
          </w:p>
        </w:tc>
        <w:tc>
          <w:tcPr>
            <w:tcW w:w="375" w:type="dxa"/>
            <w:tcBorders>
              <w:top w:val="nil"/>
              <w:left w:val="nil"/>
              <w:bottom w:val="nil"/>
              <w:right w:val="nil"/>
            </w:tcBorders>
          </w:tcPr>
          <w:p>
            <w:pPr>
              <w:pStyle w:val="0"/>
            </w:pPr>
            <w:r>
              <w:rPr>
                <w:sz w:val="24"/>
              </w:rPr>
            </w:r>
          </w:p>
        </w:tc>
      </w:tr>
      <w:tr>
        <w:tc>
          <w:tcPr>
            <w:gridSpan w:val="4"/>
            <w:tcW w:w="5413" w:type="dxa"/>
            <w:vAlign w:val="bottom"/>
            <w:tcBorders>
              <w:top w:val="nil"/>
              <w:left w:val="nil"/>
              <w:bottom w:val="nil"/>
              <w:right w:val="nil"/>
            </w:tcBorders>
          </w:tcPr>
          <w:p>
            <w:pPr>
              <w:pStyle w:val="0"/>
            </w:pPr>
            <w:r>
              <w:rPr>
                <w:sz w:val="24"/>
              </w:rPr>
              <w:t xml:space="preserve">паспорт гражданина Российской Федерации серия</w:t>
            </w:r>
          </w:p>
        </w:tc>
        <w:tc>
          <w:tcPr>
            <w:tcW w:w="855" w:type="dxa"/>
            <w:vAlign w:val="bottom"/>
            <w:tcBorders>
              <w:top w:val="nil"/>
              <w:left w:val="nil"/>
              <w:bottom w:val="single" w:sz="4"/>
              <w:right w:val="nil"/>
            </w:tcBorders>
          </w:tcPr>
          <w:p>
            <w:pPr>
              <w:pStyle w:val="0"/>
            </w:pPr>
            <w:r>
              <w:rPr>
                <w:sz w:val="24"/>
              </w:rPr>
            </w:r>
          </w:p>
        </w:tc>
        <w:tc>
          <w:tcPr>
            <w:tcW w:w="465" w:type="dxa"/>
            <w:vAlign w:val="bottom"/>
            <w:tcBorders>
              <w:top w:val="nil"/>
              <w:left w:val="nil"/>
              <w:bottom w:val="nil"/>
              <w:right w:val="nil"/>
            </w:tcBorders>
          </w:tcPr>
          <w:p>
            <w:pPr>
              <w:pStyle w:val="0"/>
              <w:jc w:val="both"/>
            </w:pPr>
            <w:r>
              <w:rPr>
                <w:sz w:val="24"/>
              </w:rPr>
              <w:t xml:space="preserve">N</w:t>
            </w:r>
          </w:p>
        </w:tc>
        <w:tc>
          <w:tcPr>
            <w:tcW w:w="915"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t xml:space="preserve">,</w:t>
            </w:r>
          </w:p>
        </w:tc>
        <w:tc>
          <w:tcPr>
            <w:gridSpan w:val="2"/>
            <w:tcW w:w="1055" w:type="dxa"/>
            <w:vAlign w:val="bottom"/>
            <w:tcBorders>
              <w:top w:val="nil"/>
              <w:left w:val="nil"/>
              <w:bottom w:val="nil"/>
              <w:right w:val="nil"/>
            </w:tcBorders>
          </w:tcPr>
          <w:p>
            <w:pPr>
              <w:pStyle w:val="0"/>
              <w:jc w:val="right"/>
            </w:pPr>
            <w:r>
              <w:rPr>
                <w:sz w:val="24"/>
              </w:rPr>
              <w:t xml:space="preserve">выдан</w:t>
            </w:r>
          </w:p>
        </w:tc>
      </w:tr>
      <w:tr>
        <w:tc>
          <w:tcPr>
            <w:gridSpan w:val="9"/>
            <w:tcW w:w="8668" w:type="dxa"/>
            <w:tcBorders>
              <w:top w:val="nil"/>
              <w:left w:val="nil"/>
              <w:bottom w:val="single" w:sz="4"/>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w:t>
            </w:r>
          </w:p>
        </w:tc>
      </w:tr>
      <w:tr>
        <w:tc>
          <w:tcPr>
            <w:gridSpan w:val="9"/>
            <w:tcW w:w="8668" w:type="dxa"/>
            <w:tcBorders>
              <w:top w:val="single" w:sz="4"/>
              <w:left w:val="nil"/>
              <w:bottom w:val="nil"/>
              <w:right w:val="nil"/>
            </w:tcBorders>
          </w:tcPr>
          <w:p>
            <w:pPr>
              <w:pStyle w:val="0"/>
              <w:jc w:val="center"/>
            </w:pPr>
            <w:r>
              <w:rPr>
                <w:sz w:val="24"/>
              </w:rPr>
              <w:t xml:space="preserve">(кем и когда выдан)</w:t>
            </w:r>
          </w:p>
        </w:tc>
        <w:tc>
          <w:tcPr>
            <w:tcW w:w="375" w:type="dxa"/>
            <w:tcBorders>
              <w:top w:val="nil"/>
              <w:left w:val="nil"/>
              <w:bottom w:val="nil"/>
              <w:right w:val="nil"/>
            </w:tcBorders>
          </w:tcPr>
          <w:p>
            <w:pPr>
              <w:pStyle w:val="0"/>
            </w:pPr>
            <w:r>
              <w:rPr>
                <w:sz w:val="24"/>
              </w:rPr>
            </w:r>
          </w:p>
        </w:tc>
      </w:tr>
      <w:tr>
        <w:tc>
          <w:tcPr>
            <w:gridSpan w:val="2"/>
            <w:tcW w:w="3134" w:type="dxa"/>
            <w:vAlign w:val="bottom"/>
            <w:tcBorders>
              <w:top w:val="nil"/>
              <w:left w:val="nil"/>
              <w:bottom w:val="nil"/>
              <w:right w:val="nil"/>
            </w:tcBorders>
          </w:tcPr>
          <w:p>
            <w:pPr>
              <w:pStyle w:val="0"/>
            </w:pPr>
            <w:r>
              <w:rPr>
                <w:sz w:val="24"/>
              </w:rPr>
              <w:t xml:space="preserve">номер контактного телефона</w:t>
            </w:r>
          </w:p>
        </w:tc>
        <w:tc>
          <w:tcPr>
            <w:gridSpan w:val="7"/>
            <w:tcW w:w="5534" w:type="dxa"/>
            <w:tcBorders>
              <w:top w:val="nil"/>
              <w:left w:val="nil"/>
              <w:bottom w:val="single" w:sz="4"/>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w:t>
            </w:r>
          </w:p>
        </w:tc>
      </w:tr>
      <w:tr>
        <w:tc>
          <w:tcPr>
            <w:tcW w:w="2864" w:type="dxa"/>
            <w:vAlign w:val="bottom"/>
            <w:tcBorders>
              <w:top w:val="nil"/>
              <w:left w:val="nil"/>
              <w:bottom w:val="nil"/>
              <w:right w:val="nil"/>
            </w:tcBorders>
          </w:tcPr>
          <w:p>
            <w:pPr>
              <w:pStyle w:val="0"/>
            </w:pPr>
            <w:r>
              <w:rPr>
                <w:sz w:val="24"/>
              </w:rPr>
              <w:t xml:space="preserve">адрес электронной почты</w:t>
            </w:r>
          </w:p>
        </w:tc>
        <w:tc>
          <w:tcPr>
            <w:gridSpan w:val="8"/>
            <w:tcW w:w="5804" w:type="dxa"/>
            <w:tcBorders>
              <w:top w:val="nil"/>
              <w:left w:val="nil"/>
              <w:bottom w:val="single" w:sz="4"/>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w:t>
            </w:r>
          </w:p>
        </w:tc>
      </w:tr>
      <w:tr>
        <w:tc>
          <w:tcPr>
            <w:gridSpan w:val="10"/>
            <w:tcW w:w="9043" w:type="dxa"/>
            <w:tcBorders>
              <w:top w:val="nil"/>
              <w:left w:val="nil"/>
              <w:bottom w:val="nil"/>
              <w:right w:val="nil"/>
            </w:tcBorders>
          </w:tcPr>
          <w:p>
            <w:pPr>
              <w:pStyle w:val="0"/>
              <w:ind w:firstLine="283"/>
              <w:jc w:val="both"/>
            </w:pPr>
            <w:r>
              <w:rPr>
                <w:sz w:val="24"/>
              </w:rPr>
              <w:t xml:space="preserve">Персональные данные, в отношении которых дается настоящее согласие, включают в себя сведения, содержащиеся в рапорте (заявлении) и прилагаемых документах в объеме, необходимом для рассмотрения вопроса о выдаче справки о подтверждении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pPr>
              <w:pStyle w:val="0"/>
              <w:ind w:firstLine="283"/>
              <w:jc w:val="both"/>
            </w:pPr>
            <w:r>
              <w:rPr>
                <w:sz w:val="24"/>
              </w:rPr>
              <w:t xml:space="preserve">Обработка персональных данных предусматривает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pPr>
              <w:pStyle w:val="0"/>
              <w:ind w:firstLine="283"/>
              <w:jc w:val="both"/>
            </w:pPr>
            <w:r>
              <w:rPr>
                <w:sz w:val="24"/>
              </w:rPr>
              <w:t xml:space="preserve">Оформление и выдача справки предполагают обработку персональных данных различными способами (с использованием автоматизированных информационных систем или без их использования).</w:t>
            </w:r>
          </w:p>
          <w:p>
            <w:pPr>
              <w:pStyle w:val="0"/>
              <w:ind w:firstLine="283"/>
              <w:jc w:val="both"/>
            </w:pPr>
            <w:r>
              <w:rPr>
                <w:sz w:val="24"/>
              </w:rPr>
              <w:t xml:space="preserve">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pPr>
              <w:pStyle w:val="0"/>
              <w:ind w:firstLine="283"/>
              <w:jc w:val="both"/>
            </w:pPr>
            <w:r>
              <w:rPr>
                <w:sz w:val="24"/>
              </w:rPr>
              <w:t xml:space="preserve">Настоящее согласие действует со дня его подписания.</w:t>
            </w:r>
          </w:p>
          <w:p>
            <w:pPr>
              <w:pStyle w:val="0"/>
              <w:ind w:firstLine="283"/>
              <w:jc w:val="both"/>
            </w:pPr>
            <w:r>
              <w:rPr>
                <w:sz w:val="24"/>
              </w:rPr>
              <w:t xml:space="preserve">Я проинформирован(на) о том, что могу отозвать настоящее согласие путем представления рапорта (заявления) в простой письменной форме о его отзыве.</w:t>
            </w:r>
          </w:p>
          <w:p>
            <w:pPr>
              <w:pStyle w:val="0"/>
              <w:ind w:firstLine="283"/>
              <w:jc w:val="both"/>
            </w:pPr>
            <w:r>
              <w:rPr>
                <w:sz w:val="24"/>
              </w:rPr>
              <w:t xml:space="preserve">Подтверждаю свое согласие на обработку персональных данных в соответствии с положениями Федерального </w:t>
            </w:r>
            <w:hyperlink w:history="0" r:id="rId15" w:tooltip="Федеральный закон от 27.07.2006 N 152-ФЗ (ред. от 08.08.2024) &quot;О персональных данных&quot; {КонсультантПлюс}">
              <w:r>
                <w:rPr>
                  <w:sz w:val="24"/>
                  <w:color w:val="0000ff"/>
                </w:rPr>
                <w:t xml:space="preserve">закона</w:t>
              </w:r>
            </w:hyperlink>
            <w:r>
              <w:rPr>
                <w:sz w:val="24"/>
              </w:rPr>
              <w:t xml:space="preserve"> от 27 июля 2006 г. N 152-ФЗ "О персональных данных".</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43"/>
      </w:tblGrid>
      <w:tr>
        <w:tblPrEx>
          <w:tblBorders>
            <w:insideH w:val="single" w:sz="4"/>
          </w:tblBorders>
        </w:tblPrEx>
        <w:tc>
          <w:tcPr>
            <w:tcW w:w="9043" w:type="dxa"/>
            <w:tcBorders>
              <w:top w:val="nil"/>
              <w:left w:val="nil"/>
              <w:bottom w:val="single" w:sz="4"/>
              <w:right w:val="nil"/>
            </w:tcBorders>
          </w:tcPr>
          <w:p>
            <w:pPr>
              <w:pStyle w:val="0"/>
            </w:pPr>
            <w:r>
              <w:rPr>
                <w:sz w:val="24"/>
              </w:rPr>
            </w:r>
          </w:p>
        </w:tc>
      </w:tr>
      <w:tr>
        <w:tc>
          <w:tcPr>
            <w:tcW w:w="9043" w:type="dxa"/>
            <w:tcBorders>
              <w:top w:val="single" w:sz="4"/>
              <w:left w:val="nil"/>
              <w:bottom w:val="nil"/>
              <w:right w:val="nil"/>
            </w:tcBorders>
          </w:tcPr>
          <w:p>
            <w:pPr>
              <w:pStyle w:val="0"/>
              <w:jc w:val="center"/>
            </w:pPr>
            <w:r>
              <w:rPr>
                <w:sz w:val="24"/>
              </w:rPr>
              <w:t xml:space="preserve">(подпись, инициалы и фамилия лица, дающего согласие на обработку персональных данных)</w:t>
            </w:r>
          </w:p>
        </w:tc>
      </w:tr>
      <w:tr>
        <w:tc>
          <w:tcPr>
            <w:tcW w:w="9043" w:type="dxa"/>
            <w:tcBorders>
              <w:top w:val="nil"/>
              <w:left w:val="nil"/>
              <w:bottom w:val="nil"/>
              <w:right w:val="nil"/>
            </w:tcBorders>
          </w:tcPr>
          <w:p>
            <w:pPr>
              <w:pStyle w:val="0"/>
            </w:pPr>
            <w:r>
              <w:rPr>
                <w:sz w:val="24"/>
              </w:rPr>
              <w:t xml:space="preserve">"__" _________ 20__ г.</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Генерального прокурора</w:t>
      </w:r>
    </w:p>
    <w:p>
      <w:pPr>
        <w:pStyle w:val="0"/>
        <w:jc w:val="right"/>
      </w:pPr>
      <w:r>
        <w:rPr>
          <w:sz w:val="24"/>
        </w:rPr>
        <w:t xml:space="preserve">Российской Федерации</w:t>
      </w:r>
    </w:p>
    <w:p>
      <w:pPr>
        <w:pStyle w:val="0"/>
        <w:jc w:val="right"/>
      </w:pPr>
      <w:r>
        <w:rPr>
          <w:sz w:val="24"/>
        </w:rPr>
        <w:t xml:space="preserve">от 09.04.2025 N 264</w:t>
      </w:r>
    </w:p>
    <w:p>
      <w:pPr>
        <w:pStyle w:val="0"/>
        <w:jc w:val="both"/>
      </w:pPr>
      <w:r>
        <w:rPr>
          <w:sz w:val="24"/>
        </w:rPr>
      </w:r>
    </w:p>
    <w:bookmarkStart w:id="314" w:name="P314"/>
    <w:bookmarkEnd w:id="314"/>
    <w:p>
      <w:pPr>
        <w:pStyle w:val="2"/>
        <w:jc w:val="center"/>
      </w:pPr>
      <w:r>
        <w:rPr>
          <w:sz w:val="24"/>
        </w:rPr>
        <w:t xml:space="preserve">ПОРЯДОК</w:t>
      </w:r>
    </w:p>
    <w:p>
      <w:pPr>
        <w:pStyle w:val="2"/>
        <w:jc w:val="center"/>
      </w:pPr>
      <w:r>
        <w:rPr>
          <w:sz w:val="24"/>
        </w:rPr>
        <w:t xml:space="preserve">ПРЕДОСТАВЛЕНИЯ ОРГАНАМИ ВОЕННОЙ ПРОКУРАТУРЫ СВЕДЕНИЙ</w:t>
      </w:r>
    </w:p>
    <w:p>
      <w:pPr>
        <w:pStyle w:val="2"/>
        <w:jc w:val="center"/>
      </w:pPr>
      <w:r>
        <w:rPr>
          <w:sz w:val="24"/>
        </w:rPr>
        <w:t xml:space="preserve">ОБ УЧАСТИИ В СПЕЦИАЛЬНОЙ ВОЕННОЙ ОПЕРАЦИИ НА ТЕРРИТОРИЯХ</w:t>
      </w:r>
    </w:p>
    <w:p>
      <w:pPr>
        <w:pStyle w:val="2"/>
        <w:jc w:val="center"/>
      </w:pPr>
      <w:r>
        <w:rPr>
          <w:sz w:val="24"/>
        </w:rPr>
        <w:t xml:space="preserve">УКРАИНЫ, ДОНЕЦКОЙ НАРОДНОЙ РЕСПУБЛИКИ, ЛУГАНСКОЙ НАРОДНОЙ</w:t>
      </w:r>
    </w:p>
    <w:p>
      <w:pPr>
        <w:pStyle w:val="2"/>
        <w:jc w:val="center"/>
      </w:pPr>
      <w:r>
        <w:rPr>
          <w:sz w:val="24"/>
        </w:rPr>
        <w:t xml:space="preserve">РЕСПУБЛИКИ, ЗАПОРОЖСКОЙ ОБЛАСТИ И ХЕРСОНСКОЙ ОБЛАСТИ</w:t>
      </w:r>
    </w:p>
    <w:p>
      <w:pPr>
        <w:pStyle w:val="2"/>
        <w:jc w:val="center"/>
      </w:pPr>
      <w:r>
        <w:rPr>
          <w:sz w:val="24"/>
        </w:rPr>
        <w:t xml:space="preserve">С ИСПОЛЬЗОВАНИЕМ ЕДИНОЙ СИСТЕМЫ МЕЖВЕДОМСТВЕННОГО</w:t>
      </w:r>
    </w:p>
    <w:p>
      <w:pPr>
        <w:pStyle w:val="2"/>
        <w:jc w:val="center"/>
      </w:pPr>
      <w:r>
        <w:rPr>
          <w:sz w:val="24"/>
        </w:rPr>
        <w:t xml:space="preserve">ЭЛЕКТРОННОГО ВЗАИМОДЕЙСТВИЯ</w:t>
      </w:r>
    </w:p>
    <w:p>
      <w:pPr>
        <w:pStyle w:val="0"/>
        <w:jc w:val="both"/>
      </w:pPr>
      <w:r>
        <w:rPr>
          <w:sz w:val="24"/>
        </w:rPr>
      </w:r>
    </w:p>
    <w:p>
      <w:pPr>
        <w:pStyle w:val="0"/>
        <w:ind w:firstLine="540"/>
        <w:jc w:val="both"/>
      </w:pPr>
      <w:r>
        <w:rPr>
          <w:sz w:val="24"/>
        </w:rPr>
        <w:t xml:space="preserve">1. Настоящий Порядок определяет правила предоставления органами военной прокуратуры сведений, подтверждающих факт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сведения), с использованием единой системы межведомственного электронного взаимодействия &lt;*&gt;.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&lt;*&gt; </w:t>
      </w:r>
      <w:hyperlink w:history="0" r:id="rId16" w:tooltip="Постановление Правительства РФ от 08.09.2010 N 697 (ред. от 28.11.2024) &quot;О единой системе межведомственного электронного взаимодействия&quot; (вместе с &quot;Положением о единой системе межведомственного электронного взаимодействия&quot;) {КонсультантПлюс}">
        <w:r>
          <w:rPr>
            <w:sz w:val="24"/>
            <w:color w:val="0000ff"/>
          </w:rPr>
          <w:t xml:space="preserve">Пункт 1</w:t>
        </w:r>
      </w:hyperlink>
      <w:r>
        <w:rPr>
          <w:sz w:val="24"/>
        </w:rPr>
        <w:t xml:space="preserve"> Положения о единой системе межведомственного электронного взаимодействия, утвержденного постановлением Правительства Российской Федерации от 8 сентября 2010 г. N 697.</w:t>
      </w:r>
    </w:p>
    <w:p>
      <w:pPr>
        <w:pStyle w:val="0"/>
        <w:jc w:val="both"/>
      </w:pPr>
      <w:r>
        <w:rPr>
          <w:sz w:val="24"/>
        </w:rPr>
      </w:r>
    </w:p>
    <w:p>
      <w:pPr>
        <w:pStyle w:val="0"/>
        <w:ind w:firstLine="540"/>
        <w:jc w:val="both"/>
      </w:pPr>
      <w:r>
        <w:rPr>
          <w:sz w:val="24"/>
        </w:rPr>
        <w:t xml:space="preserve">2. На основании запросов федеральных органов исполнительной власти (федеральных государственных органов), поступивших в органы военной прокуратуры, представляются сведения об участии в специальной военной операции военнослужащих, гражданских лиц, назначенных на воинские должности военных прокуроров, федеральных государственных гражданских служащих и работников, замещающих должности, не являющиеся должностями федеральной государственной гражданской службы:</w:t>
      </w:r>
    </w:p>
    <w:p>
      <w:pPr>
        <w:pStyle w:val="0"/>
        <w:spacing w:before="240" w:line-rule="auto"/>
        <w:ind w:firstLine="540"/>
        <w:jc w:val="both"/>
      </w:pPr>
      <w:r>
        <w:rPr>
          <w:sz w:val="24"/>
        </w:rPr>
        <w:t xml:space="preserve">проходящих (проходивших) военную службу (службу), осуществляющих (осуществлявших) трудовую деятельность в военных прокуратурах, в том числе сформированных по временным штатно-должностным расчетам, дислоцированных на территории проведения специальной военной операции;</w:t>
      </w:r>
    </w:p>
    <w:p>
      <w:pPr>
        <w:pStyle w:val="0"/>
        <w:spacing w:before="240" w:line-rule="auto"/>
        <w:ind w:firstLine="540"/>
        <w:jc w:val="both"/>
      </w:pPr>
      <w:r>
        <w:rPr>
          <w:sz w:val="24"/>
        </w:rPr>
        <w:t xml:space="preserve">командированных (командировавшихся) на основании решений Генерального прокурора Российской Федерации, заместителя Генерального прокурора Российской Федерации - Главного военного прокурора и нижестоящих военных прокуроров в военные прокуратуры, дислоцированные на территории проведения специальной военной операции, а также воинские части и организации Вооруженных Сил Российской Федерации, других войск, воинских формирований и органов, в которых федеральным законом предусмотрена военная служба, принимающие участие в специальной военной операции.</w:t>
      </w:r>
    </w:p>
    <w:p>
      <w:pPr>
        <w:pStyle w:val="0"/>
        <w:spacing w:before="240" w:line-rule="auto"/>
        <w:ind w:firstLine="540"/>
        <w:jc w:val="both"/>
      </w:pPr>
      <w:r>
        <w:rPr>
          <w:sz w:val="24"/>
        </w:rPr>
        <w:t xml:space="preserve">3. Срок предоставления сведений составляет 5 рабочих дней, начиная с рабочего дня, следующего за днем поступления запроса. Срок рассмотрения запросов может быть продлен до 30 календарных дней в случае необходимости получения дополнительной информации.</w:t>
      </w:r>
    </w:p>
    <w:p>
      <w:pPr>
        <w:pStyle w:val="0"/>
        <w:spacing w:before="240" w:line-rule="auto"/>
        <w:ind w:firstLine="540"/>
        <w:jc w:val="both"/>
      </w:pPr>
      <w:r>
        <w:rPr>
          <w:sz w:val="24"/>
        </w:rPr>
        <w:t xml:space="preserve">4. При поступлении запросов изучаются документы, имеющиеся в личных делах, архивах органов военной прокуратуры, для установления факта участия гражданина Российской Федерации в специальной военной операции.</w:t>
      </w:r>
    </w:p>
    <w:p>
      <w:pPr>
        <w:pStyle w:val="0"/>
        <w:spacing w:before="240" w:line-rule="auto"/>
        <w:ind w:firstLine="540"/>
        <w:jc w:val="both"/>
      </w:pPr>
      <w:r>
        <w:rPr>
          <w:sz w:val="24"/>
        </w:rPr>
        <w:t xml:space="preserve">5. Сведения предоставляются начальником управления кадров Главной военной прокуратуры, начальниками отделов организационно-мобилизационных и кадров (старшими помощниками военных прокуроров, ответственными за работу с кадрами) военных прокуратур военных округов, флотов, Ракетных войск стратегического назначения, Объединенной группировки войск (сил), Московской городской военной прокуратуры.</w:t>
      </w:r>
    </w:p>
    <w:p>
      <w:pPr>
        <w:pStyle w:val="0"/>
        <w:spacing w:before="240" w:line-rule="auto"/>
        <w:ind w:firstLine="540"/>
        <w:jc w:val="both"/>
      </w:pPr>
      <w:r>
        <w:rPr>
          <w:sz w:val="24"/>
        </w:rPr>
        <w:t xml:space="preserve">Указанные должностные лица органов военной прокуратуры имеют право направлять межведомственные запросы и осуществлять обмен информацией для установления факта участия в специальной военной операции.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Генпрокуратуры России от 09.04.2025 N 264</w:t>
            <w:br/>
            <w:t>"Об утверждении в органах военной прокуратуры порядков выдачи справок 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9643&amp;date=14.04.2025&amp;dst=100076&amp;field=134&amp;demo=2" TargetMode = "External"/>
	<Relationship Id="rId8" Type="http://schemas.openxmlformats.org/officeDocument/2006/relationships/hyperlink" Target="https://login.consultant.ru/link/?req=doc&amp;base=LAW&amp;n=489643&amp;date=14.04.2025&amp;dst=100077&amp;field=134&amp;demo=2" TargetMode = "External"/>
	<Relationship Id="rId9" Type="http://schemas.openxmlformats.org/officeDocument/2006/relationships/hyperlink" Target="https://login.consultant.ru/link/?req=doc&amp;base=LAW&amp;n=487015&amp;date=14.04.2025&amp;dst=100548&amp;field=134&amp;demo=2" TargetMode = "External"/>
	<Relationship Id="rId10" Type="http://schemas.openxmlformats.org/officeDocument/2006/relationships/hyperlink" Target="https://login.consultant.ru/link/?req=doc&amp;base=LAW&amp;n=489643&amp;date=14.04.2025&amp;dst=100076&amp;field=134&amp;demo=2" TargetMode = "External"/>
	<Relationship Id="rId11" Type="http://schemas.openxmlformats.org/officeDocument/2006/relationships/hyperlink" Target="https://login.consultant.ru/link/?req=doc&amp;base=LAW&amp;n=489643&amp;date=14.04.2025&amp;dst=100023&amp;field=134&amp;demo=2" TargetMode = "External"/>
	<Relationship Id="rId12" Type="http://schemas.openxmlformats.org/officeDocument/2006/relationships/hyperlink" Target="https://login.consultant.ru/link/?req=doc&amp;base=LAW&amp;n=489643&amp;date=14.04.2025&amp;dst=100049&amp;field=134&amp;demo=2" TargetMode = "External"/>
	<Relationship Id="rId13" Type="http://schemas.openxmlformats.org/officeDocument/2006/relationships/hyperlink" Target="https://login.consultant.ru/link/?req=doc&amp;base=LAW&amp;n=489643&amp;date=14.04.2025&amp;dst=100005&amp;field=134&amp;demo=2" TargetMode = "External"/>
	<Relationship Id="rId14" Type="http://schemas.openxmlformats.org/officeDocument/2006/relationships/hyperlink" Target="https://login.consultant.ru/link/?req=doc&amp;base=LAW&amp;n=489643&amp;date=14.04.2025&amp;dst=100005&amp;field=134&amp;demo=2" TargetMode = "External"/>
	<Relationship Id="rId15" Type="http://schemas.openxmlformats.org/officeDocument/2006/relationships/hyperlink" Target="https://login.consultant.ru/link/?req=doc&amp;base=LAW&amp;n=482686&amp;date=14.04.2025&amp;demo=2" TargetMode = "External"/>
	<Relationship Id="rId16" Type="http://schemas.openxmlformats.org/officeDocument/2006/relationships/hyperlink" Target="https://login.consultant.ru/link/?req=doc&amp;base=LAW&amp;n=491831&amp;date=14.04.2025&amp;dst=15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Генпрокуратуры России от 09.04.2025 N 264
"Об утверждении в органах военной прокуратуры порядков выдачи справок и предоставления сведений, подтверждающих факт участия в специальной военной операции"
(вместе с "Порядком выдачи в органах военной прокуратуры справок о подтверждении факта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участникам специальной военной операции и (или) членам</dc:title>
  <dcterms:created xsi:type="dcterms:W3CDTF">2025-04-14T13:12:49Z</dcterms:created>
</cp:coreProperties>
</file>