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&lt;Информация&gt; Росреестра</w:t>
              <w:br/>
              <w:t xml:space="preserve">"Дайджест законодательных изменений в сфере земли и недвижимости. I квартал 2025 года"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17.04.2025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СЛУЖБА ГОСУДАРСТВЕННОЙ РЕГИСТРАЦИИ,</w:t>
      </w:r>
    </w:p>
    <w:p>
      <w:pPr>
        <w:pStyle w:val="2"/>
        <w:jc w:val="center"/>
      </w:pPr>
      <w:r>
        <w:rPr>
          <w:sz w:val="24"/>
        </w:rPr>
        <w:t xml:space="preserve">КАДАСТРА И КАРТОГРАФИИ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ИНФОРМАЦИЯ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ДАЙДЖЕСТ</w:t>
      </w:r>
    </w:p>
    <w:p>
      <w:pPr>
        <w:pStyle w:val="2"/>
        <w:jc w:val="center"/>
      </w:pPr>
      <w:r>
        <w:rPr>
          <w:sz w:val="24"/>
        </w:rPr>
        <w:t xml:space="preserve">ЗАКОНОДАТЕЛЬНЫХ ИЗМЕНЕНИЙ В СФЕРЕ ЗЕМЛИ И НЕДВИЖИМОСТИ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I КВАРТАЛ 2025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361"/>
        <w:gridCol w:w="1984"/>
        <w:gridCol w:w="372"/>
        <w:gridCol w:w="819"/>
        <w:gridCol w:w="510"/>
        <w:gridCol w:w="1814"/>
        <w:gridCol w:w="1191"/>
        <w:gridCol w:w="383"/>
        <w:gridCol w:w="5159"/>
      </w:tblGrid>
      <w:tr>
        <w:tblPrEx>
          <w:tblBorders>
            <w:insideV w:val="nil"/>
            <w:insideH w:val="nil"/>
          </w:tblBorders>
        </w:tblPrEx>
        <w:tc>
          <w:tcPr>
            <w:tcW w:w="1361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outlineLvl w:val="0"/>
              <w:jc w:val="center"/>
            </w:pPr>
            <w:r>
              <w:rPr>
                <w:position w:val="-52"/>
              </w:rPr>
              <w:drawing>
                <wp:inline distT="0" distB="0" distL="0" distR="0">
                  <wp:extent cx="785495" cy="82296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495" cy="822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4"/>
            <w:tcW w:w="3685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Росреестр</w:t>
            </w:r>
          </w:p>
          <w:p>
            <w:pPr>
              <w:pStyle w:val="0"/>
            </w:pPr>
            <w:r>
              <w:rPr>
                <w:sz w:val="24"/>
              </w:rPr>
              <w:t xml:space="preserve">Федеральная служба</w:t>
            </w:r>
          </w:p>
          <w:p>
            <w:pPr>
              <w:pStyle w:val="0"/>
            </w:pPr>
            <w:r>
              <w:rPr>
                <w:sz w:val="24"/>
              </w:rPr>
              <w:t xml:space="preserve">государственной регистрации,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кадастра и картографии</w:t>
            </w:r>
          </w:p>
        </w:tc>
        <w:tc>
          <w:tcPr>
            <w:gridSpan w:val="4"/>
            <w:tcW w:w="8547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Оформление прав на недвижимость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ind w:left="283"/>
            </w:pPr>
            <w:r>
              <w:rPr>
                <w:sz w:val="24"/>
              </w:rPr>
              <w:t xml:space="preserve">Федеральный </w:t>
            </w:r>
            <w:r>
              <w:rPr>
                <w:sz w:val="24"/>
              </w:rPr>
              <w:t xml:space="preserve">закон</w:t>
            </w:r>
            <w:r>
              <w:rPr>
                <w:sz w:val="24"/>
              </w:rPr>
              <w:t xml:space="preserve"> от 27.02.2025 N 10-ФЗ "О внесении изменений в статьи 21 и 70 Федерального закона "О государственной регистрации недвижимости"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(вступил в силу 01.03.2025)</w:t>
            </w:r>
          </w:p>
        </w:tc>
      </w:tr>
      <w:tr>
        <w:tc>
          <w:tcPr>
            <w:gridSpan w:val="2"/>
            <w:tcW w:w="3345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Аудитория</w:t>
            </w:r>
          </w:p>
        </w:tc>
        <w:tc>
          <w:tcPr>
            <w:gridSpan w:val="5"/>
            <w:tcW w:w="470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Было</w:t>
            </w:r>
          </w:p>
        </w:tc>
        <w:tc>
          <w:tcPr>
            <w:gridSpan w:val="2"/>
            <w:tcW w:w="5542" w:type="dxa"/>
            <w:tcBorders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Стало</w:t>
            </w:r>
          </w:p>
        </w:tc>
      </w:tr>
      <w:tr>
        <w:tc>
          <w:tcPr>
            <w:gridSpan w:val="2"/>
            <w:tcW w:w="3345" w:type="dxa"/>
            <w:vAlign w:val="center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36"/>
              </w:rPr>
              <w:drawing>
                <wp:inline distT="0" distB="0" distL="0" distR="0">
                  <wp:extent cx="716915" cy="61404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915" cy="614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Электронные образы документов, необходимых для осуществления государственного кадастрового учета и (или) государственной регистрации прав, представляемые кредитными организациями с использованием информационных технологий взаимодействия с органом регистрации прав, заверяются усиленной квалифицированной электронной подписью уполномоченного должностного лица кредитной организации.</w:t>
            </w:r>
          </w:p>
        </w:tc>
        <w:tc>
          <w:tcPr>
            <w:gridSpan w:val="2"/>
            <w:tcW w:w="5542" w:type="dxa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Электронные образы документов, необходимых для осуществления государственного кадастрового учета и (или) государственной регистрации прав, представляемые кредитными организациями с использованием информационных технологий взаимодействия с органом регистрации прав, заверяются усиленной квалифицированной электронной подписью кредитной организации либо уполномоченного должностного лица кредитной организации.</w:t>
            </w:r>
          </w:p>
        </w:tc>
      </w:tr>
      <w:tr>
        <w:tc>
          <w:tcPr>
            <w:gridSpan w:val="2"/>
            <w:tcW w:w="3345" w:type="dxa"/>
            <w:vAlign w:val="center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46"/>
              </w:rPr>
              <w:drawing>
                <wp:inline distT="0" distB="0" distL="0" distR="0">
                  <wp:extent cx="746125" cy="74612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125" cy="746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 1 марта 2025 г. предусмотрено приостановление учетно-регистрационных действий в отношении являющихся предметом договора земельного участка либо расположенного на нем здания, сооружения - в случае отсутствия в ЕГРН сведений о границах земельного участка.</w:t>
            </w:r>
          </w:p>
        </w:tc>
        <w:tc>
          <w:tcPr>
            <w:gridSpan w:val="2"/>
            <w:tcW w:w="5542" w:type="dxa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Учетно-регистрационные действия в отношении являющихся предметом договора земельного участка либо расположенного на нем здания, сооружения в случае отсутствия в ЕГРН сведений о границах земельного участка не приостанавливаются для лиц, пострадавших в результате боевых действий и (или) в связи с наступлением чрезвычайной ситуации.</w:t>
            </w:r>
          </w:p>
        </w:tc>
      </w:tr>
      <w:tr>
        <w:tc>
          <w:tcPr>
            <w:gridSpan w:val="2"/>
            <w:tcW w:w="3345" w:type="dxa"/>
            <w:vAlign w:val="center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46"/>
              </w:rPr>
              <w:drawing>
                <wp:inline distT="0" distB="0" distL="0" distR="0">
                  <wp:extent cx="746125" cy="74612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125" cy="746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Предусмотрен отказ во внесении в ЕГРН сведений о ранее учтенном объекте недвижимости в случае отсутствия межевого или технического плана на соответствующие земельный участок, здание, сооружение, объект незавершенного строительства, помещение или машино-место.</w:t>
            </w:r>
          </w:p>
        </w:tc>
        <w:tc>
          <w:tcPr>
            <w:gridSpan w:val="2"/>
            <w:tcW w:w="5542" w:type="dxa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Внесение в ЕГРН сведений о ранее учтенных земельных участках и объектах недвижимости, а также государственная регистрация прав на них возможны без представления межевого и технического планов для лиц, пострадавших в результате боевых действий и (или) в связи с наступлением чрезвычайной ситуации.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136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35"/>
              </w:rPr>
              <w:drawing>
                <wp:inline distT="0" distB="0" distL="0" distR="0">
                  <wp:extent cx="604520" cy="60452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520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физические лица</w:t>
            </w:r>
          </w:p>
        </w:tc>
        <w:tc>
          <w:tcPr>
            <w:gridSpan w:val="2"/>
            <w:tcW w:w="119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27"/>
              </w:rPr>
              <w:drawing>
                <wp:inline distT="0" distB="0" distL="0" distR="0">
                  <wp:extent cx="614045" cy="50419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045" cy="504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2324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профессиональное сообщество</w:t>
            </w:r>
          </w:p>
        </w:tc>
        <w:tc>
          <w:tcPr>
            <w:tcW w:w="119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25"/>
              </w:rPr>
              <w:drawing>
                <wp:inline distT="0" distB="0" distL="0" distR="0">
                  <wp:extent cx="577850" cy="47561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850" cy="475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5542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органы власти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1361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outlineLvl w:val="0"/>
              <w:jc w:val="center"/>
            </w:pPr>
            <w:r>
              <w:rPr>
                <w:position w:val="-52"/>
              </w:rPr>
              <w:drawing>
                <wp:inline distT="0" distB="0" distL="0" distR="0">
                  <wp:extent cx="785495" cy="82296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495" cy="822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4"/>
            <w:tcW w:w="3685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Росреестр</w:t>
            </w:r>
          </w:p>
          <w:p>
            <w:pPr>
              <w:pStyle w:val="0"/>
            </w:pPr>
            <w:r>
              <w:rPr>
                <w:sz w:val="24"/>
              </w:rPr>
              <w:t xml:space="preserve">Федеральная служба</w:t>
            </w:r>
          </w:p>
          <w:p>
            <w:pPr>
              <w:pStyle w:val="0"/>
            </w:pPr>
            <w:r>
              <w:rPr>
                <w:sz w:val="24"/>
              </w:rPr>
              <w:t xml:space="preserve">государственной регистрации,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кадастра и картографии</w:t>
            </w:r>
          </w:p>
        </w:tc>
        <w:tc>
          <w:tcPr>
            <w:gridSpan w:val="4"/>
            <w:tcW w:w="8547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Предоставление земельных участков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ind w:left="283"/>
            </w:pPr>
            <w:r>
              <w:rPr>
                <w:sz w:val="24"/>
              </w:rPr>
              <w:t xml:space="preserve">Федеральный </w:t>
            </w:r>
            <w:r>
              <w:rPr>
                <w:sz w:val="24"/>
              </w:rPr>
              <w:t xml:space="preserve">закон</w:t>
            </w:r>
            <w:r>
              <w:rPr>
                <w:sz w:val="24"/>
              </w:rPr>
              <w:t xml:space="preserve"> от 20.03.2025 N 35-ФЗ "О внесении изменений в отдельные законодательные акты Российской Федерации"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(вступил в силу 31.03.2025)</w:t>
            </w:r>
          </w:p>
        </w:tc>
      </w:tr>
      <w:tr>
        <w:tc>
          <w:tcPr>
            <w:gridSpan w:val="2"/>
            <w:tcW w:w="3345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Аудитория</w:t>
            </w:r>
          </w:p>
        </w:tc>
        <w:tc>
          <w:tcPr>
            <w:gridSpan w:val="5"/>
            <w:tcW w:w="470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Было</w:t>
            </w:r>
          </w:p>
        </w:tc>
        <w:tc>
          <w:tcPr>
            <w:gridSpan w:val="2"/>
            <w:tcW w:w="5542" w:type="dxa"/>
            <w:tcBorders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Стало</w:t>
            </w:r>
          </w:p>
        </w:tc>
      </w:tr>
      <w:tr>
        <w:tc>
          <w:tcPr>
            <w:gridSpan w:val="2"/>
            <w:tcW w:w="3345" w:type="dxa"/>
            <w:vAlign w:val="center"/>
            <w:tcBorders>
              <w:left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position w:val="-43"/>
              </w:rPr>
              <w:drawing>
                <wp:inline distT="0" distB="0" distL="0" distR="0">
                  <wp:extent cx="1623695" cy="70929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695" cy="709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 31 декабря 2024 г. были установлены особенности предоставления земельных участков, находящихся в государственной или муниципальной собственности:</w:t>
            </w:r>
          </w:p>
        </w:tc>
        <w:tc>
          <w:tcPr>
            <w:gridSpan w:val="2"/>
            <w:tcW w:w="5542" w:type="dxa"/>
            <w:tcBorders>
              <w:bottom w:val="nil"/>
              <w:right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Земельные участки предоставляются в аренду без проведения торгов на срок до 10 лет гражданину Российской Федерации или юридическому лицу, в случае если их участок, расположенный на территории Белгородской, Брянской или Курской областей, пострадал вследствие боевых действий и (или) в связи с наступлением чрезвычайной ситуации, и его использование по целевому назначению невозможно.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2"/>
            <w:tcBorders>
              <w:left w:val="nil"/>
            </w:tcBorders>
            <w:vMerge w:val="continue"/>
          </w:tcPr>
          <w:p/>
        </w:tc>
        <w:tc>
          <w:tcPr>
            <w:tcW w:w="372" w:type="dxa"/>
            <w:tcBorders>
              <w:top w:val="nil"/>
              <w:bottom w:val="nil"/>
              <w:right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gridSpan w:val="4"/>
            <w:tcW w:w="4334" w:type="dxa"/>
            <w:tcBorders>
              <w:top w:val="nil"/>
              <w:left w:val="nil"/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индивидуальному предпринимателю или юридическому лицу в аренду без проведения торгов на срок до 10 лет в целях возобновления и (или) продолжения осуществления ими предпринимательской деятельности;</w:t>
            </w:r>
          </w:p>
        </w:tc>
        <w:tc>
          <w:tcPr>
            <w:gridSpan w:val="2"/>
            <w:tcBorders>
              <w:bottom w:val="nil"/>
              <w:right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gridSpan w:val="2"/>
            <w:tcBorders>
              <w:left w:val="nil"/>
            </w:tcBorders>
            <w:vMerge w:val="continue"/>
          </w:tcPr>
          <w:p/>
        </w:tc>
        <w:tc>
          <w:tcPr>
            <w:tcBorders>
              <w:top w:val="nil"/>
              <w:bottom w:val="nil"/>
              <w:right w:val="nil"/>
            </w:tcBorders>
            <w:vMerge w:val="continue"/>
          </w:tcPr>
          <w:p/>
        </w:tc>
        <w:tc>
          <w:tcPr>
            <w:gridSpan w:val="4"/>
            <w:tcBorders>
              <w:top w:val="nil"/>
              <w:left w:val="nil"/>
              <w:bottom w:val="nil"/>
            </w:tcBorders>
            <w:vMerge w:val="continue"/>
          </w:tcPr>
          <w:p/>
        </w:tc>
        <w:tc>
          <w:tcPr>
            <w:gridSpan w:val="2"/>
            <w:tcW w:w="5542" w:type="dxa"/>
            <w:tcBorders>
              <w:top w:val="nil"/>
              <w:right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Льготные категории граждан, в отношении которых земельным законодательством установлена однократность предоставления земельного участка в собственность бесплатно, сохраняют возможность получить повторно земельный участок бесплатно, в случае если ранее предоставленный гражданину земельный участок не может использоваться в соответствии с его целевым назначением и разрешенным использованием вследствие боевых действий и (или) чрезвычайных ситуаций природного и техногенного характера.</w:t>
            </w:r>
          </w:p>
        </w:tc>
      </w:tr>
      <w:tr>
        <w:tc>
          <w:tcPr>
            <w:gridSpan w:val="2"/>
            <w:tcBorders>
              <w:left w:val="nil"/>
            </w:tcBorders>
            <w:vMerge w:val="continue"/>
          </w:tcPr>
          <w:p/>
        </w:tc>
        <w:tc>
          <w:tcPr>
            <w:tcW w:w="372" w:type="dxa"/>
            <w:tcBorders>
              <w:top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gridSpan w:val="4"/>
            <w:tcW w:w="4334" w:type="dxa"/>
            <w:tcBorders>
              <w:top w:val="nil"/>
              <w:lef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гражданам, жилое помещение которых утрачено или признано непригодным для проживания.</w:t>
            </w:r>
          </w:p>
        </w:tc>
        <w:tc>
          <w:tcPr>
            <w:gridSpan w:val="2"/>
            <w:tcBorders>
              <w:top w:val="nil"/>
              <w:right w:val="nil"/>
            </w:tcBorders>
            <w:vMerge w:val="continue"/>
          </w:tcPr>
          <w:p/>
        </w:tc>
      </w:tr>
      <w:tr>
        <w:tblPrEx>
          <w:tblBorders>
            <w:insideV w:val="nil"/>
            <w:insideH w:val="nil"/>
          </w:tblBorders>
        </w:tblPrEx>
        <w:tc>
          <w:tcPr>
            <w:tcW w:w="136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35"/>
              </w:rPr>
              <w:drawing>
                <wp:inline distT="0" distB="0" distL="0" distR="0">
                  <wp:extent cx="604520" cy="60452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520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физические лица</w:t>
            </w:r>
          </w:p>
        </w:tc>
        <w:tc>
          <w:tcPr>
            <w:gridSpan w:val="2"/>
            <w:tcW w:w="119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27"/>
              </w:rPr>
              <w:drawing>
                <wp:inline distT="0" distB="0" distL="0" distR="0">
                  <wp:extent cx="614045" cy="50419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045" cy="504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2324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профессиональное сообщество</w:t>
            </w:r>
          </w:p>
        </w:tc>
        <w:tc>
          <w:tcPr>
            <w:tcW w:w="119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25"/>
              </w:rPr>
              <w:drawing>
                <wp:inline distT="0" distB="0" distL="0" distR="0">
                  <wp:extent cx="577850" cy="47561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850" cy="475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5542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органы власти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1361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outlineLvl w:val="0"/>
              <w:jc w:val="center"/>
            </w:pPr>
            <w:r>
              <w:rPr>
                <w:position w:val="-52"/>
              </w:rPr>
              <w:drawing>
                <wp:inline distT="0" distB="0" distL="0" distR="0">
                  <wp:extent cx="785495" cy="82296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495" cy="822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4"/>
            <w:tcW w:w="3685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Росреестр</w:t>
            </w:r>
          </w:p>
          <w:p>
            <w:pPr>
              <w:pStyle w:val="0"/>
            </w:pPr>
            <w:r>
              <w:rPr>
                <w:sz w:val="24"/>
              </w:rPr>
              <w:t xml:space="preserve">Федеральная служба</w:t>
            </w:r>
          </w:p>
          <w:p>
            <w:pPr>
              <w:pStyle w:val="0"/>
            </w:pPr>
            <w:r>
              <w:rPr>
                <w:sz w:val="24"/>
              </w:rPr>
              <w:t xml:space="preserve">государственной регистрации,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кадастра и картографии</w:t>
            </w:r>
          </w:p>
        </w:tc>
        <w:tc>
          <w:tcPr>
            <w:gridSpan w:val="4"/>
            <w:tcW w:w="8547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Комплексные кадастровые работы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ind w:left="283"/>
            </w:pPr>
            <w:hyperlink w:history="0" r:id="rId13" w:tooltip="Постановление Правительства РФ от 29.01.2025 N 69 &quot;Об утверждении Положения о порядке и критериях определения перечня кадастровых кварталов, на территориях которых предусматривается выполнение комплексных кадастровых работ федерального значения&quot; {КонсультантПлюс}">
              <w:r>
                <w:rPr>
                  <w:sz w:val="24"/>
                  <w:color w:val="0000ff"/>
                </w:rPr>
                <w:t xml:space="preserve">Постановление</w:t>
              </w:r>
            </w:hyperlink>
            <w:r>
              <w:rPr>
                <w:sz w:val="24"/>
              </w:rPr>
              <w:t xml:space="preserve"> Правительства Российской Федерации от 29.01.2025 N 69 "Об утверждении порядка и критериев определения перечня кадастровых кварталов, на территории которых предусматривается выполнение комплексных кадастровых работ федерального значения"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(вступило в силу 06.02.2025)</w:t>
            </w:r>
          </w:p>
        </w:tc>
      </w:tr>
      <w:tr>
        <w:tc>
          <w:tcPr>
            <w:gridSpan w:val="2"/>
            <w:tcW w:w="3345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Аудитория</w:t>
            </w:r>
          </w:p>
        </w:tc>
        <w:tc>
          <w:tcPr>
            <w:gridSpan w:val="5"/>
            <w:tcW w:w="470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Было</w:t>
            </w:r>
          </w:p>
        </w:tc>
        <w:tc>
          <w:tcPr>
            <w:gridSpan w:val="2"/>
            <w:tcW w:w="5542" w:type="dxa"/>
            <w:tcBorders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Стало</w:t>
            </w:r>
          </w:p>
        </w:tc>
      </w:tr>
      <w:tr>
        <w:tc>
          <w:tcPr>
            <w:gridSpan w:val="2"/>
            <w:tcW w:w="3345" w:type="dxa"/>
            <w:tcBorders>
              <w:left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position w:val="-36"/>
              </w:rPr>
              <w:drawing>
                <wp:inline distT="0" distB="0" distL="0" distR="0">
                  <wp:extent cx="1896110" cy="61087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6110" cy="610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Порядок и критерии определения перечня кадастровых кварталов, на территории которых предусматривается выполнение комплексных кадастровых работ федерального значения, не установлены.</w:t>
            </w:r>
          </w:p>
        </w:tc>
        <w:tc>
          <w:tcPr>
            <w:gridSpan w:val="2"/>
            <w:tcW w:w="5542" w:type="dxa"/>
            <w:vAlign w:val="center"/>
            <w:tcBorders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Перечень кадастровых кварталов подготавливает Росреестр на основании предложений (заявок) высших исполнительных органов субъектов Российской Федерации и предложений ППК "Роскадастр".</w:t>
            </w:r>
          </w:p>
          <w:p>
            <w:pPr>
              <w:pStyle w:val="0"/>
            </w:pPr>
            <w:r>
              <w:rPr>
                <w:sz w:val="24"/>
              </w:rPr>
              <w:t xml:space="preserve">Высшие исполнительные органы субъектов РФ направляют предложения в Росреестр до 1 апреля года, предшествующего году предоставления ППК "Роскадастр" субсидии из федерального бюджета.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2"/>
            <w:tcBorders>
              <w:left w:val="nil"/>
            </w:tcBorders>
            <w:vMerge w:val="continue"/>
          </w:tcPr>
          <w:p/>
        </w:tc>
        <w:tc>
          <w:tcPr>
            <w:gridSpan w:val="5"/>
            <w:vMerge w:val="continue"/>
          </w:tcPr>
          <w:p/>
        </w:tc>
        <w:tc>
          <w:tcPr>
            <w:gridSpan w:val="2"/>
            <w:tcW w:w="5542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Критериями определения перечня кадастровых кварталов являются: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2"/>
            <w:tcBorders>
              <w:left w:val="nil"/>
            </w:tcBorders>
            <w:vMerge w:val="continue"/>
          </w:tcPr>
          <w:p/>
        </w:tc>
        <w:tc>
          <w:tcPr>
            <w:gridSpan w:val="5"/>
            <w:vMerge w:val="continue"/>
          </w:tcPr>
          <w:p/>
        </w:tc>
        <w:tc>
          <w:tcPr>
            <w:tcW w:w="383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частичное или полное расположение кадастровых кварталов в границах опорного населенного пункта;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2"/>
            <w:tcBorders>
              <w:left w:val="nil"/>
            </w:tcBorders>
            <w:vMerge w:val="continue"/>
          </w:tcPr>
          <w:p/>
        </w:tc>
        <w:tc>
          <w:tcPr>
            <w:gridSpan w:val="5"/>
            <w:vMerge w:val="continue"/>
          </w:tcPr>
          <w:p/>
        </w:tc>
        <w:tc>
          <w:tcPr>
            <w:tcW w:w="383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доля земельных участков с границами, установленными в соответствии с действующим законодательством, в кадастровом квартале составляет менее 80%;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2"/>
            <w:tcBorders>
              <w:left w:val="nil"/>
            </w:tcBorders>
            <w:vMerge w:val="continue"/>
          </w:tcPr>
          <w:p/>
        </w:tc>
        <w:tc>
          <w:tcPr>
            <w:gridSpan w:val="5"/>
            <w:vMerge w:val="continue"/>
          </w:tcPr>
          <w:p/>
        </w:tc>
        <w:tc>
          <w:tcPr>
            <w:tcW w:w="383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доля расположенных в кадастровом квартале земельных участков, в сведениях о которых в ЕГРН содержатся реестровые ошибки в местоположении границ, составляет более 10%;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2"/>
            <w:tcBorders>
              <w:left w:val="nil"/>
            </w:tcBorders>
            <w:vMerge w:val="continue"/>
          </w:tcPr>
          <w:p/>
        </w:tc>
        <w:tc>
          <w:tcPr>
            <w:gridSpan w:val="5"/>
            <w:vMerge w:val="continue"/>
          </w:tcPr>
          <w:p/>
        </w:tc>
        <w:tc>
          <w:tcPr>
            <w:tcW w:w="383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на территориях кадастровых кварталов в соответствии с документами, указанными в </w:t>
            </w:r>
            <w:hyperlink w:history="0" r:id="rId15" w:tooltip="Федеральный закон от 24.07.2007 N 221-ФЗ (ред. от 26.12.2024) &quot;О кадастровой деятельности&quot; {КонсультантПлюс}">
              <w:r>
                <w:rPr>
                  <w:sz w:val="24"/>
                  <w:color w:val="0000ff"/>
                </w:rPr>
                <w:t xml:space="preserve">ч. 6 ст. 42.1</w:t>
              </w:r>
            </w:hyperlink>
            <w:r>
              <w:rPr>
                <w:sz w:val="24"/>
              </w:rPr>
              <w:t xml:space="preserve"> Федерального закона "О кадастровой деятельности", предусмотрено образование 10 и более земельных участков;</w:t>
            </w:r>
          </w:p>
        </w:tc>
      </w:tr>
      <w:tr>
        <w:tc>
          <w:tcPr>
            <w:gridSpan w:val="2"/>
            <w:tcBorders>
              <w:left w:val="nil"/>
            </w:tcBorders>
            <w:vMerge w:val="continue"/>
          </w:tcPr>
          <w:p/>
        </w:tc>
        <w:tc>
          <w:tcPr>
            <w:gridSpan w:val="5"/>
            <w:vMerge w:val="continue"/>
          </w:tcPr>
          <w:p/>
        </w:tc>
        <w:tc>
          <w:tcPr>
            <w:tcW w:w="383" w:type="dxa"/>
            <w:tcBorders>
              <w:top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5159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 отношении кадастровых кварталов субъектом Российской Федерации определена социально-экономическая целесообразность.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136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35"/>
              </w:rPr>
              <w:drawing>
                <wp:inline distT="0" distB="0" distL="0" distR="0">
                  <wp:extent cx="604520" cy="60452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520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физические лица</w:t>
            </w:r>
          </w:p>
        </w:tc>
        <w:tc>
          <w:tcPr>
            <w:gridSpan w:val="2"/>
            <w:tcW w:w="119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27"/>
              </w:rPr>
              <w:drawing>
                <wp:inline distT="0" distB="0" distL="0" distR="0">
                  <wp:extent cx="614045" cy="50419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045" cy="504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2324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профессиональное сообщество</w:t>
            </w:r>
          </w:p>
        </w:tc>
        <w:tc>
          <w:tcPr>
            <w:tcW w:w="119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25"/>
              </w:rPr>
              <w:drawing>
                <wp:inline distT="0" distB="0" distL="0" distR="0">
                  <wp:extent cx="577850" cy="47561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850" cy="475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5542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органы власти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ind w:left="283"/>
            </w:pPr>
            <w:hyperlink w:history="0" r:id="rId16" w:tooltip="Постановление Правительства РФ от 11.02.2025 N 142 &quot;О внесении изменений в некоторые акты Правительства Российской Федерации&quot; {КонсультантПлюс}">
              <w:r>
                <w:rPr>
                  <w:sz w:val="24"/>
                  <w:color w:val="0000ff"/>
                </w:rPr>
                <w:t xml:space="preserve">Постановление</w:t>
              </w:r>
            </w:hyperlink>
            <w:r>
              <w:rPr>
                <w:sz w:val="24"/>
              </w:rPr>
              <w:t xml:space="preserve"> Правительства Российской Федерации от 11.02.2025 N 142 "О внесении изменений в некоторые акты Правительства Российской Федерации"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(вступило в силу 20.02.2025)</w:t>
            </w:r>
          </w:p>
        </w:tc>
      </w:tr>
      <w:tr>
        <w:tc>
          <w:tcPr>
            <w:gridSpan w:val="2"/>
            <w:tcW w:w="3345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Аудитория</w:t>
            </w:r>
          </w:p>
        </w:tc>
        <w:tc>
          <w:tcPr>
            <w:gridSpan w:val="5"/>
            <w:tcW w:w="470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Было</w:t>
            </w:r>
          </w:p>
        </w:tc>
        <w:tc>
          <w:tcPr>
            <w:gridSpan w:val="2"/>
            <w:tcW w:w="5542" w:type="dxa"/>
            <w:tcBorders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Стало</w:t>
            </w:r>
          </w:p>
        </w:tc>
      </w:tr>
      <w:tr>
        <w:tc>
          <w:tcPr>
            <w:gridSpan w:val="2"/>
            <w:tcW w:w="3345" w:type="dxa"/>
            <w:tcBorders>
              <w:left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position w:val="-41"/>
              </w:rPr>
              <w:drawing>
                <wp:inline distT="0" distB="0" distL="0" distR="0">
                  <wp:extent cx="1798955" cy="67310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8955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Правила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Федерации, возникающих при проведении комплексных кадастровых работ, определены в государственной </w:t>
            </w:r>
            <w:hyperlink w:history="0" r:id="rId18" w:tooltip="Постановление Правительства РФ от 01.12.2021 N 2148 (ред. от 11.02.2025) &quot;Об утверждении государственной программы Российской Федерации &quot;Национальная система пространственных данных&quot; {КонсультантПлюс}">
              <w:r>
                <w:rPr>
                  <w:sz w:val="24"/>
                  <w:color w:val="0000ff"/>
                </w:rPr>
                <w:t xml:space="preserve">программе</w:t>
              </w:r>
            </w:hyperlink>
            <w:r>
              <w:rPr>
                <w:sz w:val="24"/>
              </w:rPr>
              <w:t xml:space="preserve"> Российской Федерации "Национальная система пространственных данных".</w:t>
            </w:r>
          </w:p>
        </w:tc>
        <w:tc>
          <w:tcPr>
            <w:gridSpan w:val="2"/>
            <w:tcW w:w="5542" w:type="dxa"/>
            <w:tcBorders>
              <w:bottom w:val="nil"/>
              <w:right w:val="nil"/>
            </w:tcBorders>
          </w:tcPr>
          <w:p>
            <w:pPr>
              <w:pStyle w:val="0"/>
            </w:pPr>
            <w:hyperlink w:history="0" r:id="rId19" w:tooltip="Федеральный закон от 24.07.2007 N 221-ФЗ (ред. от 26.12.2024) &quot;О кадастровой деятельности&quot; {КонсультантПлюс}">
              <w:r>
                <w:rPr>
                  <w:sz w:val="24"/>
                  <w:color w:val="0000ff"/>
                </w:rPr>
                <w:t xml:space="preserve">Частью 1.1 статьи 42.2</w:t>
              </w:r>
            </w:hyperlink>
            <w:r>
              <w:rPr>
                <w:sz w:val="24"/>
              </w:rPr>
              <w:t xml:space="preserve"> Федерального закона от 24.07.2007 N 221-ФЗ "О кадастровой деятельности" (в ред. Федерального закона от 29.10.2024 N 371-ФЗ "О внесении изменений в отдельные законодательные акты Российской Федерации") установлено, что в зависимости от источника финансирования комплексные кадастровые работы, выполняемые за счет бюджетных средств, подразделяются на комплексные кадастровые работы федерального значения, регионального значения и местного значения.</w:t>
            </w:r>
          </w:p>
        </w:tc>
      </w:tr>
      <w:tr>
        <w:tc>
          <w:tcPr>
            <w:gridSpan w:val="2"/>
            <w:tcBorders>
              <w:left w:val="nil"/>
            </w:tcBorders>
            <w:vMerge w:val="continue"/>
          </w:tcPr>
          <w:p/>
        </w:tc>
        <w:tc>
          <w:tcPr>
            <w:gridSpan w:val="5"/>
            <w:vMerge w:val="continue"/>
          </w:tcPr>
          <w:p/>
        </w:tc>
        <w:tc>
          <w:tcPr>
            <w:gridSpan w:val="2"/>
            <w:tcW w:w="5542" w:type="dxa"/>
            <w:tcBorders>
              <w:top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Распределение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Федерации, возникающих при проведении комплексных кадастровых работ, с 01.01.2025 не предусмотрено законодательством Российской Федерации.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136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35"/>
              </w:rPr>
              <w:drawing>
                <wp:inline distT="0" distB="0" distL="0" distR="0">
                  <wp:extent cx="604520" cy="60452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520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физические лица</w:t>
            </w:r>
          </w:p>
        </w:tc>
        <w:tc>
          <w:tcPr>
            <w:gridSpan w:val="2"/>
            <w:tcW w:w="119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27"/>
              </w:rPr>
              <w:drawing>
                <wp:inline distT="0" distB="0" distL="0" distR="0">
                  <wp:extent cx="614045" cy="50419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045" cy="504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2324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профессиональное сообщество</w:t>
            </w:r>
          </w:p>
        </w:tc>
        <w:tc>
          <w:tcPr>
            <w:tcW w:w="119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25"/>
              </w:rPr>
              <w:drawing>
                <wp:inline distT="0" distB="0" distL="0" distR="0">
                  <wp:extent cx="577850" cy="47561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850" cy="475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5542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органы власти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1361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outlineLvl w:val="0"/>
              <w:jc w:val="center"/>
            </w:pPr>
            <w:r>
              <w:rPr>
                <w:position w:val="-52"/>
              </w:rPr>
              <w:drawing>
                <wp:inline distT="0" distB="0" distL="0" distR="0">
                  <wp:extent cx="785495" cy="82296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495" cy="822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4"/>
            <w:tcW w:w="3685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Росреестр</w:t>
            </w:r>
          </w:p>
          <w:p>
            <w:pPr>
              <w:pStyle w:val="0"/>
            </w:pPr>
            <w:r>
              <w:rPr>
                <w:sz w:val="24"/>
              </w:rPr>
              <w:t xml:space="preserve">Федеральная служба</w:t>
            </w:r>
          </w:p>
          <w:p>
            <w:pPr>
              <w:pStyle w:val="0"/>
            </w:pPr>
            <w:r>
              <w:rPr>
                <w:sz w:val="24"/>
              </w:rPr>
              <w:t xml:space="preserve">государственной регистрации,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кадастра и картографии</w:t>
            </w:r>
          </w:p>
        </w:tc>
        <w:tc>
          <w:tcPr>
            <w:gridSpan w:val="4"/>
            <w:tcW w:w="8547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Внесение сведений в ЕГРН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ind w:left="283"/>
            </w:pPr>
            <w:r>
              <w:rPr>
                <w:sz w:val="24"/>
              </w:rPr>
              <w:t xml:space="preserve">Постановление</w:t>
            </w:r>
            <w:r>
              <w:rPr>
                <w:sz w:val="24"/>
              </w:rPr>
              <w:t xml:space="preserve"> Правительства Российской Федерации от 15.02.2025 N 168 "О внесении изменений в постановление Правительства Российской Федерации от 31 декабря 2015 г. N 1532"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vAlign w:val="center"/>
            <w:tcBorders>
              <w:top w:val="nil"/>
              <w:left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(вступило в силу 25.02.2025)</w:t>
            </w:r>
          </w:p>
        </w:tc>
      </w:tr>
      <w:tr>
        <w:tblPrEx>
          <w:tblBorders>
            <w:insideV w:val="nil"/>
          </w:tblBorders>
        </w:tblPrEx>
        <w:tc>
          <w:tcPr>
            <w:gridSpan w:val="2"/>
            <w:tcW w:w="334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Аудитория</w:t>
            </w:r>
          </w:p>
        </w:tc>
        <w:tc>
          <w:tcPr>
            <w:gridSpan w:val="5"/>
            <w:tcW w:w="4706" w:type="dxa"/>
            <w:tcBorders>
              <w:right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Было</w:t>
            </w:r>
          </w:p>
        </w:tc>
        <w:tc>
          <w:tcPr>
            <w:gridSpan w:val="2"/>
            <w:tcW w:w="5542" w:type="dxa"/>
            <w:tcBorders>
              <w:left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Стало</w:t>
            </w:r>
          </w:p>
        </w:tc>
      </w:tr>
      <w:tr>
        <w:tc>
          <w:tcPr>
            <w:gridSpan w:val="2"/>
            <w:tcW w:w="3345" w:type="dxa"/>
            <w:vAlign w:val="center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32"/>
              </w:rPr>
              <w:drawing>
                <wp:inline distT="0" distB="0" distL="0" distR="0">
                  <wp:extent cx="680720" cy="57086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0720" cy="570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Правила направления информации об установлении или изменении границ муниципальных образований в Росреестр не установлены.</w:t>
            </w:r>
          </w:p>
        </w:tc>
        <w:tc>
          <w:tcPr>
            <w:gridSpan w:val="2"/>
            <w:tcW w:w="5542" w:type="dxa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Обязательным приложением к направляемым в орган регистрации прав документам в случае принятия решения об установлении или изменении границ муниципального образования является карта (план) соответствующего объекта землеустройства.</w:t>
            </w:r>
          </w:p>
        </w:tc>
      </w:tr>
      <w:tr>
        <w:tc>
          <w:tcPr>
            <w:gridSpan w:val="2"/>
            <w:tcW w:w="3345" w:type="dxa"/>
            <w:vAlign w:val="center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32"/>
              </w:rPr>
              <w:drawing>
                <wp:inline distT="0" distB="0" distL="0" distR="0">
                  <wp:extent cx="680720" cy="57086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0720" cy="570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При отсутствии технической возможности использовать информационно-телекоммуникационную сеть "Интернет" документы, подлежащие направлению в Росреестр для внесения в ЕГРН в порядке межведомственного информационного взаимодействия, предоставляются на электронных носителях.</w:t>
            </w:r>
          </w:p>
        </w:tc>
        <w:tc>
          <w:tcPr>
            <w:gridSpan w:val="2"/>
            <w:tcW w:w="5542" w:type="dxa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Возможность направления документов для внесения в ЕГРН в порядке межведомственного информационного взаимодействия на электронных носителях исключена.</w:t>
            </w:r>
          </w:p>
          <w:p>
            <w:pPr>
              <w:pStyle w:val="0"/>
            </w:pPr>
            <w:r>
              <w:rPr>
                <w:sz w:val="24"/>
              </w:rPr>
              <w:t xml:space="preserve">Направление указанных документов осуществляется исключительно посредством единой системы межведомственного электронного взаимодействия и подключаемых к ней региональных систем.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136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35"/>
              </w:rPr>
              <w:drawing>
                <wp:inline distT="0" distB="0" distL="0" distR="0">
                  <wp:extent cx="604520" cy="60452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520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физические лица</w:t>
            </w:r>
          </w:p>
        </w:tc>
        <w:tc>
          <w:tcPr>
            <w:gridSpan w:val="2"/>
            <w:tcW w:w="119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27"/>
              </w:rPr>
              <w:drawing>
                <wp:inline distT="0" distB="0" distL="0" distR="0">
                  <wp:extent cx="614045" cy="50419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045" cy="504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2324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профессиональное сообщество</w:t>
            </w:r>
          </w:p>
        </w:tc>
        <w:tc>
          <w:tcPr>
            <w:tcW w:w="119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25"/>
              </w:rPr>
              <w:drawing>
                <wp:inline distT="0" distB="0" distL="0" distR="0">
                  <wp:extent cx="577850" cy="47561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850" cy="475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5542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органы власти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1361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outlineLvl w:val="0"/>
              <w:jc w:val="center"/>
            </w:pPr>
            <w:r>
              <w:rPr>
                <w:position w:val="-52"/>
              </w:rPr>
              <w:drawing>
                <wp:inline distT="0" distB="0" distL="0" distR="0">
                  <wp:extent cx="785495" cy="82296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495" cy="822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4"/>
            <w:tcW w:w="3685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Росреестр</w:t>
            </w:r>
          </w:p>
          <w:p>
            <w:pPr>
              <w:pStyle w:val="0"/>
            </w:pPr>
            <w:r>
              <w:rPr>
                <w:sz w:val="24"/>
              </w:rPr>
              <w:t xml:space="preserve">Федеральная служба</w:t>
            </w:r>
          </w:p>
          <w:p>
            <w:pPr>
              <w:pStyle w:val="0"/>
            </w:pPr>
            <w:r>
              <w:rPr>
                <w:sz w:val="24"/>
              </w:rPr>
              <w:t xml:space="preserve">государственной регистрации,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кадастра и картографии</w:t>
            </w:r>
          </w:p>
        </w:tc>
        <w:tc>
          <w:tcPr>
            <w:gridSpan w:val="4"/>
            <w:tcW w:w="8547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Охранные зоны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ind w:left="283"/>
            </w:pPr>
            <w:r>
              <w:rPr>
                <w:sz w:val="24"/>
              </w:rPr>
              <w:t xml:space="preserve">Постановление</w:t>
            </w:r>
            <w:r>
              <w:rPr>
                <w:sz w:val="24"/>
              </w:rPr>
              <w:t xml:space="preserve"> Правительства Российской Федерации от 19.02.2025 N 179 "О внесении изменений в постановление Правительства Российской Федерации от 21 августа 2019 г. N 1080"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(вступило в силу 27.02.2025)</w:t>
            </w:r>
          </w:p>
        </w:tc>
      </w:tr>
      <w:tr>
        <w:tc>
          <w:tcPr>
            <w:gridSpan w:val="2"/>
            <w:tcW w:w="3345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Аудитория</w:t>
            </w:r>
          </w:p>
        </w:tc>
        <w:tc>
          <w:tcPr>
            <w:gridSpan w:val="5"/>
            <w:tcW w:w="470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Было</w:t>
            </w:r>
          </w:p>
        </w:tc>
        <w:tc>
          <w:tcPr>
            <w:gridSpan w:val="2"/>
            <w:tcW w:w="5542" w:type="dxa"/>
            <w:tcBorders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Стало</w:t>
            </w:r>
          </w:p>
        </w:tc>
      </w:tr>
      <w:tr>
        <w:tc>
          <w:tcPr>
            <w:gridSpan w:val="2"/>
            <w:tcW w:w="3345" w:type="dxa"/>
            <w:vAlign w:val="center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32"/>
              </w:rPr>
              <w:drawing>
                <wp:inline distT="0" distB="0" distL="0" distR="0">
                  <wp:extent cx="680720" cy="57086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0720" cy="570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Полномочия по принятию решений об установлении охранных зон пунктов фундаментальной астрономо-геодезической сети, Кронштадтского футштока, исходных (главных) гравиметрических пунктов, расположенных в гг. Москве и Новосибирске, закреплены за Росреестром.</w:t>
            </w:r>
          </w:p>
        </w:tc>
        <w:tc>
          <w:tcPr>
            <w:gridSpan w:val="2"/>
            <w:tcW w:w="5542" w:type="dxa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Полномочия по принятию решений об установлении, изменении или о прекращении охранных зон всех пунктов государственной геодезической сети, государственной нивелирной сети и государственной гравиметрической сети закреплены за территориальными органами Росреестра.</w:t>
            </w:r>
          </w:p>
        </w:tc>
      </w:tr>
      <w:tr>
        <w:tc>
          <w:tcPr>
            <w:gridSpan w:val="2"/>
            <w:tcW w:w="3345" w:type="dxa"/>
            <w:vAlign w:val="center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32"/>
              </w:rPr>
              <w:drawing>
                <wp:inline distT="0" distB="0" distL="0" distR="0">
                  <wp:extent cx="680720" cy="57086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0720" cy="570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Охранные зоны пунктов устанавливаются до момента исключения информации о них из федерального фонда пространственных данных.</w:t>
            </w:r>
          </w:p>
        </w:tc>
        <w:tc>
          <w:tcPr>
            <w:gridSpan w:val="2"/>
            <w:tcW w:w="5542" w:type="dxa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Охранные зоны пунктов устанавливаются до момента внесения в реестр геодезических пунктов сведений об уничтожении пунктов, в отношении которых установлены охранные зоны пунктов.</w:t>
            </w:r>
          </w:p>
        </w:tc>
      </w:tr>
      <w:tr>
        <w:tc>
          <w:tcPr>
            <w:gridSpan w:val="2"/>
            <w:tcW w:w="3345" w:type="dxa"/>
            <w:vAlign w:val="center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36"/>
              </w:rPr>
              <w:drawing>
                <wp:inline distT="0" distB="0" distL="0" distR="0">
                  <wp:extent cx="1896110" cy="61087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6110" cy="610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Сроки представления заявлений об установлении и о прекращении существования охранных зон не были установлены, что могло привести к нарушению законных прав и интересов граждан и заинтересованных лиц.</w:t>
            </w:r>
          </w:p>
        </w:tc>
        <w:tc>
          <w:tcPr>
            <w:gridSpan w:val="2"/>
            <w:tcW w:w="5542" w:type="dxa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Установлены сроки представления фондодержателем федерального фонда пространственных данных (ППК "Роскадастр") заявлений об установлении, изменении и о прекращении существования охранных зон.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136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35"/>
              </w:rPr>
              <w:drawing>
                <wp:inline distT="0" distB="0" distL="0" distR="0">
                  <wp:extent cx="604520" cy="60452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520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физические лица</w:t>
            </w:r>
          </w:p>
        </w:tc>
        <w:tc>
          <w:tcPr>
            <w:gridSpan w:val="2"/>
            <w:tcW w:w="119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27"/>
              </w:rPr>
              <w:drawing>
                <wp:inline distT="0" distB="0" distL="0" distR="0">
                  <wp:extent cx="614045" cy="50419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045" cy="504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2324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профессиональное сообщество</w:t>
            </w:r>
          </w:p>
        </w:tc>
        <w:tc>
          <w:tcPr>
            <w:tcW w:w="119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25"/>
              </w:rPr>
              <w:drawing>
                <wp:inline distT="0" distB="0" distL="0" distR="0">
                  <wp:extent cx="577850" cy="47561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850" cy="475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5542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органы власти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1361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outlineLvl w:val="0"/>
              <w:jc w:val="center"/>
            </w:pPr>
            <w:r>
              <w:rPr>
                <w:position w:val="-52"/>
              </w:rPr>
              <w:drawing>
                <wp:inline distT="0" distB="0" distL="0" distR="0">
                  <wp:extent cx="785495" cy="82296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495" cy="822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4"/>
            <w:tcW w:w="3685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Росреестр</w:t>
            </w:r>
          </w:p>
          <w:p>
            <w:pPr>
              <w:pStyle w:val="0"/>
            </w:pPr>
            <w:r>
              <w:rPr>
                <w:sz w:val="24"/>
              </w:rPr>
              <w:t xml:space="preserve">Федеральная служба</w:t>
            </w:r>
          </w:p>
          <w:p>
            <w:pPr>
              <w:pStyle w:val="0"/>
            </w:pPr>
            <w:r>
              <w:rPr>
                <w:sz w:val="24"/>
              </w:rPr>
              <w:t xml:space="preserve">государственной регистрации,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кадастра и картографии</w:t>
            </w:r>
          </w:p>
        </w:tc>
        <w:tc>
          <w:tcPr>
            <w:gridSpan w:val="4"/>
            <w:tcW w:w="8547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Государственная кадастровая оценка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ind w:left="283"/>
            </w:pPr>
            <w:r>
              <w:rPr>
                <w:sz w:val="24"/>
              </w:rPr>
              <w:t xml:space="preserve">Приказ</w:t>
            </w:r>
            <w:r>
              <w:rPr>
                <w:sz w:val="24"/>
              </w:rPr>
              <w:t xml:space="preserve"> Росреестра от 11.09.2024 N П/0288/24 "О внесении изменений в Методические указания о государственной кадастровой оценке, утвержденные приказом Федеральной службы государственной регистрации, кадастра и картографии от 4 августа 2021 г. N П/0336"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(вступил в силу 25.01.2025)</w:t>
            </w:r>
          </w:p>
        </w:tc>
      </w:tr>
      <w:tr>
        <w:tc>
          <w:tcPr>
            <w:gridSpan w:val="2"/>
            <w:tcW w:w="3345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Аудитория</w:t>
            </w:r>
          </w:p>
        </w:tc>
        <w:tc>
          <w:tcPr>
            <w:gridSpan w:val="5"/>
            <w:tcW w:w="470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Было</w:t>
            </w:r>
          </w:p>
        </w:tc>
        <w:tc>
          <w:tcPr>
            <w:gridSpan w:val="2"/>
            <w:tcW w:w="5542" w:type="dxa"/>
            <w:tcBorders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Стало</w:t>
            </w:r>
          </w:p>
        </w:tc>
      </w:tr>
      <w:tr>
        <w:tc>
          <w:tcPr>
            <w:gridSpan w:val="2"/>
            <w:tcW w:w="3345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36"/>
              </w:rPr>
              <w:drawing>
                <wp:inline distT="0" distB="0" distL="0" distR="0">
                  <wp:extent cx="1896110" cy="61087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6110" cy="610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При проведении государственной кадастровой оценки используется информация о фактическом использовании объекта недвижимости на основании декларации о характеристиках объекта недвижимости.</w:t>
            </w:r>
          </w:p>
        </w:tc>
        <w:tc>
          <w:tcPr>
            <w:gridSpan w:val="2"/>
            <w:tcW w:w="5542" w:type="dxa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Расширен перечень источников информации о фактическом использовании объекта недвижимости, используемой при проведении государственной кадастровой оценки.</w:t>
            </w:r>
          </w:p>
        </w:tc>
      </w:tr>
      <w:tr>
        <w:tc>
          <w:tcPr>
            <w:gridSpan w:val="2"/>
            <w:tcW w:w="3345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32"/>
              </w:rPr>
              <w:drawing>
                <wp:inline distT="0" distB="0" distL="0" distR="0">
                  <wp:extent cx="680720" cy="57086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0720" cy="570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Отсутствует порядок обработки информации, содержащейся в предварительном перечне объектов недвижимости.</w:t>
            </w:r>
          </w:p>
        </w:tc>
        <w:tc>
          <w:tcPr>
            <w:gridSpan w:val="2"/>
            <w:tcW w:w="5542" w:type="dxa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Установлен порядок обработки информации, содержащейся в предварительном перечне объектов недвижимости.</w:t>
            </w:r>
          </w:p>
        </w:tc>
      </w:tr>
      <w:tr>
        <w:tc>
          <w:tcPr>
            <w:gridSpan w:val="2"/>
            <w:tcW w:w="3345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32"/>
              </w:rPr>
              <w:drawing>
                <wp:inline distT="0" distB="0" distL="0" distR="0">
                  <wp:extent cx="680720" cy="57086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0720" cy="570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Отсутствует порядок определения кадастровой стоимости земельных участков сегмента "Охраняемые природные территории и благоустройство".</w:t>
            </w:r>
          </w:p>
        </w:tc>
        <w:tc>
          <w:tcPr>
            <w:gridSpan w:val="2"/>
            <w:tcW w:w="5542" w:type="dxa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Установлен порядок определения кадастровой стоимости земельных участков сегмента "Охраняемые природные территории и благоустройство".</w:t>
            </w:r>
          </w:p>
        </w:tc>
      </w:tr>
      <w:tr>
        <w:tc>
          <w:tcPr>
            <w:gridSpan w:val="2"/>
            <w:tcW w:w="3345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32"/>
              </w:rPr>
              <w:drawing>
                <wp:inline distT="0" distB="0" distL="0" distR="0">
                  <wp:extent cx="680720" cy="57086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0720" cy="570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Требование о расчете удельных показателей кадастровой стоимости не установлено.</w:t>
            </w:r>
          </w:p>
        </w:tc>
        <w:tc>
          <w:tcPr>
            <w:gridSpan w:val="2"/>
            <w:tcW w:w="5542" w:type="dxa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Предусмотрено обязательное включение в отчет об итогах государственной кадастровой оценки информации о порядке и результатах расчета удельных показателей кадастровой стоимости в разрезе кадастровых кварталов, населенных пунктов, муниципальных районов (городских округов), муниципальных округов, муниципальных образований в составе города федерального значения, субъекта Российской Федерации для земельных участков по группам видов использования объектов недвижимости, подлежащих ГКО, для иных объектов недвижимости - по видам и назначению.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136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35"/>
              </w:rPr>
              <w:drawing>
                <wp:inline distT="0" distB="0" distL="0" distR="0">
                  <wp:extent cx="604520" cy="60452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520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физические лица</w:t>
            </w:r>
          </w:p>
        </w:tc>
        <w:tc>
          <w:tcPr>
            <w:gridSpan w:val="2"/>
            <w:tcW w:w="119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27"/>
              </w:rPr>
              <w:drawing>
                <wp:inline distT="0" distB="0" distL="0" distR="0">
                  <wp:extent cx="614045" cy="50419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045" cy="504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2324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профессиональное сообщество</w:t>
            </w:r>
          </w:p>
        </w:tc>
        <w:tc>
          <w:tcPr>
            <w:tcW w:w="119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25"/>
              </w:rPr>
              <w:drawing>
                <wp:inline distT="0" distB="0" distL="0" distR="0">
                  <wp:extent cx="577850" cy="47561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850" cy="475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5542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органы власти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1361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outlineLvl w:val="0"/>
              <w:jc w:val="center"/>
            </w:pPr>
            <w:r>
              <w:rPr>
                <w:position w:val="-52"/>
              </w:rPr>
              <w:drawing>
                <wp:inline distT="0" distB="0" distL="0" distR="0">
                  <wp:extent cx="785495" cy="82296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495" cy="822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4"/>
            <w:tcW w:w="3685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Росреестр</w:t>
            </w:r>
          </w:p>
          <w:p>
            <w:pPr>
              <w:pStyle w:val="0"/>
            </w:pPr>
            <w:r>
              <w:rPr>
                <w:sz w:val="24"/>
              </w:rPr>
              <w:t xml:space="preserve">Федеральная служба</w:t>
            </w:r>
          </w:p>
          <w:p>
            <w:pPr>
              <w:pStyle w:val="0"/>
            </w:pPr>
            <w:r>
              <w:rPr>
                <w:sz w:val="24"/>
              </w:rPr>
              <w:t xml:space="preserve">государственной регистрации,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кадастра и картографии</w:t>
            </w:r>
          </w:p>
        </w:tc>
        <w:tc>
          <w:tcPr>
            <w:gridSpan w:val="4"/>
            <w:tcW w:w="8547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Виды разрешенного использования земельных участков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Ind w:w="0" w:type="dxa"/>
              <w:tblW w:w="5000" w:type="pct"/>
              <w:tblBorders>
                <w:top w:val="nil"/>
                <w:left w:val="nil"/>
                <w:bottom w:val="nil"/>
                <w:right w:val="nil"/>
                <w:insideV w:val="nil"/>
                <w:insideH w:val="nil"/>
              </w:tblBorders>
            </w:tblPr>
            <w:tblGrid>
              <w:gridCol w:w="60"/>
              <w:gridCol w:w="113"/>
              <w:gridCol w:w="13672"/>
              <w:gridCol w:w="113"/>
            </w:tblGrid>
            <w:tr>
              <w:tc>
                <w:tcPr>
                  <w:tcW w:w="6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ced3f1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  <w:tc>
                <w:tcPr>
                  <w:tcW w:w="1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  <w:tc>
                <w:tcPr>
                  <w:tcW w:w="0" w:type="auto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0"/>
                    <w:jc w:val="both"/>
                  </w:pPr>
                  <w:r>
                    <w:rPr>
                      <w:sz w:val="24"/>
                      <w:color w:val="392c69"/>
                    </w:rPr>
                    <w:t xml:space="preserve">КонсультантПлюс: примечание.</w:t>
                  </w:r>
                </w:p>
                <w:p>
                  <w:pPr>
                    <w:pStyle w:val="0"/>
                    <w:jc w:val="both"/>
                  </w:pPr>
                  <w:r>
                    <w:rPr>
                      <w:sz w:val="24"/>
                      <w:color w:val="392c69"/>
                    </w:rPr>
                    <w:t xml:space="preserve">В официальном тексте документа, видимо, допущена опечатка: имеется в виду Приказ Росреестра N П/0303/24 от 01.10.2024, а не от 24.12.2024.</w:t>
                  </w:r>
                </w:p>
              </w:tc>
              <w:tc>
                <w:tcPr>
                  <w:tcW w:w="1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</w:tr>
          </w:tbl>
          <w:p/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Ind w:w="0" w:type="dxa"/>
              <w:tblW w:w="5000" w:type="pct"/>
              <w:tblBorders>
                <w:top w:val="nil"/>
                <w:left w:val="nil"/>
                <w:bottom w:val="nil"/>
                <w:right w:val="nil"/>
                <w:insideV w:val="nil"/>
                <w:insideH w:val="nil"/>
              </w:tblBorders>
            </w:tblPr>
            <w:tblGrid>
              <w:gridCol w:w="60"/>
              <w:gridCol w:w="113"/>
              <w:gridCol w:w="13672"/>
              <w:gridCol w:w="113"/>
            </w:tblGrid>
            <w:tr>
              <w:tc>
                <w:tcPr>
                  <w:tcW w:w="6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ced3f1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  <w:tc>
                <w:tcPr>
                  <w:tcW w:w="1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  <w:tc>
                <w:tcPr>
                  <w:tcW w:w="0" w:type="auto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0"/>
                    <w:jc w:val="both"/>
                  </w:pPr>
                  <w:r>
                    <w:rPr>
                      <w:sz w:val="24"/>
                      <w:color w:val="392c69"/>
                    </w:rPr>
                    <w:t xml:space="preserve">КонсультантПлюс: примечание.</w:t>
                  </w:r>
                </w:p>
                <w:p>
                  <w:pPr>
                    <w:pStyle w:val="0"/>
                    <w:jc w:val="both"/>
                  </w:pPr>
                  <w:r>
                    <w:rPr>
                      <w:sz w:val="24"/>
                      <w:color w:val="392c69"/>
                    </w:rPr>
                    <w:t xml:space="preserve">В официальном тексте документа, видимо, допущена опечатка: имеется в виду Приказ Росреестра N П/0412 от 10.11.2020, а не от 10.11.2024.</w:t>
                  </w:r>
                </w:p>
              </w:tc>
              <w:tc>
                <w:tcPr>
                  <w:tcW w:w="1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</w:tr>
          </w:tbl>
          <w:p/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ind w:left="283"/>
            </w:pPr>
            <w:r>
              <w:rPr>
                <w:sz w:val="24"/>
              </w:rPr>
              <w:t xml:space="preserve">Приказ</w:t>
            </w:r>
            <w:r>
              <w:rPr>
                <w:sz w:val="24"/>
              </w:rPr>
              <w:t xml:space="preserve"> Росреестра от 24.12.2024 N П/0303/24 от 01.10.2024 "О внесении изменений в классификатор видов разрешенного использования земельных участков, утвержденный приказом Федеральной службы государственной регистрации, кадастра и картографии от 10 ноября 2024 г. N П/0412"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vAlign w:val="center"/>
            <w:tcBorders>
              <w:top w:val="nil"/>
              <w:left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(вступил в силу 16.02.2025)</w:t>
            </w:r>
          </w:p>
        </w:tc>
      </w:tr>
      <w:tr>
        <w:tc>
          <w:tcPr>
            <w:gridSpan w:val="2"/>
            <w:tcW w:w="3345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Аудитория</w:t>
            </w:r>
          </w:p>
        </w:tc>
        <w:tc>
          <w:tcPr>
            <w:gridSpan w:val="5"/>
            <w:tcW w:w="470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Было</w:t>
            </w:r>
          </w:p>
        </w:tc>
        <w:tc>
          <w:tcPr>
            <w:gridSpan w:val="2"/>
            <w:tcW w:w="5542" w:type="dxa"/>
            <w:tcBorders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Стало</w:t>
            </w:r>
          </w:p>
        </w:tc>
      </w:tr>
      <w:tr>
        <w:tc>
          <w:tcPr>
            <w:gridSpan w:val="2"/>
            <w:tcW w:w="3345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36"/>
              </w:rPr>
              <w:drawing>
                <wp:inline distT="0" distB="0" distL="0" distR="0">
                  <wp:extent cx="1896110" cy="61087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6110" cy="610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работ по рекультивации земель и (или) земельных участков не предусмотрено </w:t>
            </w:r>
            <w:hyperlink w:history="0" r:id="rId21" w:tooltip="Приказ Росреестра от 10.11.2020 N П/0412 (ред. от 01.10.2024) &quot;Об утверждении классификатора видов разрешенного использования земельных участков&quot; (Зарегистрировано в Минюсте России 15.12.2020 N 61482) {КонсультантПлюс}">
              <w:r>
                <w:rPr>
                  <w:sz w:val="24"/>
                  <w:color w:val="0000ff"/>
                </w:rPr>
                <w:t xml:space="preserve">Классификатором</w:t>
              </w:r>
            </w:hyperlink>
            <w:r>
              <w:rPr>
                <w:sz w:val="24"/>
              </w:rPr>
              <w:t xml:space="preserve"> видов разрешенного использования земельных участков.</w:t>
            </w:r>
          </w:p>
        </w:tc>
        <w:tc>
          <w:tcPr>
            <w:gridSpan w:val="2"/>
            <w:tcW w:w="5542" w:type="dxa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Предусмотрена возможность проведения работ по рекультивации нарушенных земель и (или) земельных участков без отдельного указания в </w:t>
            </w:r>
            <w:hyperlink w:history="0" r:id="rId22" w:tooltip="Приказ Росреестра от 10.11.2020 N П/0412 (ред. от 01.10.2024) &quot;Об утверждении классификатора видов разрешенного использования земельных участков&quot; (Зарегистрировано в Минюсте России 15.12.2020 N 61482) {КонсультантПлюс}">
              <w:r>
                <w:rPr>
                  <w:sz w:val="24"/>
                  <w:color w:val="0000ff"/>
                </w:rPr>
                <w:t xml:space="preserve">Классификаторе</w:t>
              </w:r>
            </w:hyperlink>
            <w:r>
              <w:rPr>
                <w:sz w:val="24"/>
              </w:rPr>
              <w:t xml:space="preserve"> видов разрешенного использования земельных участков на такую возможность.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136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35"/>
              </w:rPr>
              <w:drawing>
                <wp:inline distT="0" distB="0" distL="0" distR="0">
                  <wp:extent cx="604520" cy="60452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520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физические лица</w:t>
            </w:r>
          </w:p>
        </w:tc>
        <w:tc>
          <w:tcPr>
            <w:gridSpan w:val="2"/>
            <w:tcW w:w="119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27"/>
              </w:rPr>
              <w:drawing>
                <wp:inline distT="0" distB="0" distL="0" distR="0">
                  <wp:extent cx="614045" cy="50419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045" cy="504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2324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профессиональное сообщество</w:t>
            </w:r>
          </w:p>
        </w:tc>
        <w:tc>
          <w:tcPr>
            <w:tcW w:w="119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25"/>
              </w:rPr>
              <w:drawing>
                <wp:inline distT="0" distB="0" distL="0" distR="0">
                  <wp:extent cx="577850" cy="47561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850" cy="475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5542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органы власти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1361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outlineLvl w:val="0"/>
              <w:jc w:val="center"/>
            </w:pPr>
            <w:r>
              <w:rPr>
                <w:position w:val="-52"/>
              </w:rPr>
              <w:drawing>
                <wp:inline distT="0" distB="0" distL="0" distR="0">
                  <wp:extent cx="785495" cy="82296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495" cy="822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4"/>
            <w:tcW w:w="3685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Росреестр</w:t>
            </w:r>
          </w:p>
          <w:p>
            <w:pPr>
              <w:pStyle w:val="0"/>
            </w:pPr>
            <w:r>
              <w:rPr>
                <w:sz w:val="24"/>
              </w:rPr>
              <w:t xml:space="preserve">Федеральная служба</w:t>
            </w:r>
          </w:p>
          <w:p>
            <w:pPr>
              <w:pStyle w:val="0"/>
            </w:pPr>
            <w:r>
              <w:rPr>
                <w:sz w:val="24"/>
              </w:rPr>
              <w:t xml:space="preserve">государственной регистрации,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кадастра и картографии</w:t>
            </w:r>
          </w:p>
        </w:tc>
        <w:tc>
          <w:tcPr>
            <w:gridSpan w:val="4"/>
            <w:tcW w:w="8547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Государственный контроль (надзор)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Ind w:w="0" w:type="dxa"/>
              <w:tblW w:w="5000" w:type="pct"/>
              <w:tblBorders>
                <w:top w:val="nil"/>
                <w:left w:val="nil"/>
                <w:bottom w:val="nil"/>
                <w:right w:val="nil"/>
                <w:insideV w:val="nil"/>
                <w:insideH w:val="nil"/>
              </w:tblBorders>
            </w:tblPr>
            <w:tblGrid>
              <w:gridCol w:w="60"/>
              <w:gridCol w:w="113"/>
              <w:gridCol w:w="13672"/>
              <w:gridCol w:w="113"/>
            </w:tblGrid>
            <w:tr>
              <w:tc>
                <w:tcPr>
                  <w:tcW w:w="6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ced3f1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  <w:tc>
                <w:tcPr>
                  <w:tcW w:w="1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  <w:tc>
                <w:tcPr>
                  <w:tcW w:w="0" w:type="auto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0"/>
                    <w:jc w:val="both"/>
                  </w:pPr>
                  <w:r>
                    <w:rPr>
                      <w:sz w:val="24"/>
                      <w:color w:val="392c69"/>
                    </w:rPr>
                    <w:t xml:space="preserve">КонсультантПлюс: примечание.</w:t>
                  </w:r>
                </w:p>
                <w:p>
                  <w:pPr>
                    <w:pStyle w:val="0"/>
                    <w:jc w:val="both"/>
                  </w:pPr>
                  <w:r>
                    <w:rPr>
                      <w:sz w:val="24"/>
                      <w:color w:val="392c69"/>
                    </w:rPr>
                    <w:t xml:space="preserve">В официальном тексте документа, видимо, допущена опечатка: имеется в виду</w:t>
                  </w:r>
                </w:p>
                <w:p>
                  <w:pPr>
                    <w:pStyle w:val="0"/>
                    <w:jc w:val="both"/>
                  </w:pPr>
                  <w:r>
                    <w:rPr>
                      <w:sz w:val="24"/>
                      <w:color w:val="392c69"/>
                    </w:rPr>
                    <w:t xml:space="preserve">Приказ Росреестра N П/0423/24 от 24.12.2024, а не от 04.12.2024.</w:t>
                  </w:r>
                </w:p>
              </w:tc>
              <w:tc>
                <w:tcPr>
                  <w:tcW w:w="1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</w:tr>
          </w:tbl>
          <w:p/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ind w:left="283"/>
            </w:pPr>
            <w:r>
              <w:rPr>
                <w:sz w:val="24"/>
              </w:rPr>
              <w:t xml:space="preserve">Приказ</w:t>
            </w:r>
            <w:r>
              <w:rPr>
                <w:sz w:val="24"/>
              </w:rPr>
              <w:t xml:space="preserve"> Росреестра от 04.12.2024 N П/0423/24 "О внесении изменений в перечень индикаторов риска нарушения обязательных требований, используемых Федеральной службой государственной регистрации, кадастра и картографии и ее территориальными органами при осуществлении федерального государственного контроля (надзора) в области геодезии и картографии, утвержденный приказом Федеральной службы государственной регистрации, кадастра и картографии от 15 ноября 2021 г. N П/0519"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vAlign w:val="center"/>
            <w:tcBorders>
              <w:top w:val="nil"/>
              <w:left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(вступил в силу 16.02.2025)</w:t>
            </w:r>
          </w:p>
        </w:tc>
      </w:tr>
      <w:tr>
        <w:tc>
          <w:tcPr>
            <w:gridSpan w:val="2"/>
            <w:tcW w:w="3345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Аудитория</w:t>
            </w:r>
          </w:p>
        </w:tc>
        <w:tc>
          <w:tcPr>
            <w:gridSpan w:val="5"/>
            <w:tcW w:w="470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Было</w:t>
            </w:r>
          </w:p>
        </w:tc>
        <w:tc>
          <w:tcPr>
            <w:gridSpan w:val="2"/>
            <w:tcW w:w="5542" w:type="dxa"/>
            <w:tcBorders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Стало</w:t>
            </w:r>
          </w:p>
        </w:tc>
      </w:tr>
      <w:tr>
        <w:tc>
          <w:tcPr>
            <w:gridSpan w:val="2"/>
            <w:tcW w:w="3345" w:type="dxa"/>
            <w:tcBorders>
              <w:left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position w:val="-36"/>
              </w:rPr>
              <w:drawing>
                <wp:inline distT="0" distB="0" distL="0" distR="0">
                  <wp:extent cx="1896110" cy="61087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6110" cy="610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Лицензионными требованиями, предъявляемыми к соискателю лицензии (лицензиату) на осуществление геодезической и картографической деятельности, являются в том числе:</w:t>
            </w:r>
          </w:p>
        </w:tc>
        <w:tc>
          <w:tcPr>
            <w:gridSpan w:val="2"/>
            <w:tcW w:w="5542" w:type="dxa"/>
            <w:tcBorders>
              <w:right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Поступление в Росреестр заявления о предоставлении лицензии, внесении изменений в реестр лицензий, периодическом подтверждении соответствия, содержащего сведения о технических средствах и оборудовании, правообладателем которого является иной лицензиат, либо содержащего сведения о работнике, необходимом для выполнения работ, составляющих геодезическую и картографическую деятельность и подлежащих лицензированию, который ранее был заявлен как работник иного лицензиата, выполняющий такие работы, а также истечение срока действия документа основания возникновения прав, за исключением прав собственности, на принадлежащие лицензиату технические средства и оборудование - индикаторы риска нарушения обязательных требований, свидетельствующие о возможном несоответствии лицензиата лицензионным требованиям (само поступление такой информации не будет свидетельствовать о наличии нарушения).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2"/>
            <w:tcBorders>
              <w:left w:val="nil"/>
            </w:tcBorders>
            <w:vMerge w:val="continue"/>
          </w:tcPr>
          <w:p/>
        </w:tc>
        <w:tc>
          <w:tcPr>
            <w:tcW w:w="372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gridSpan w:val="4"/>
            <w:tcW w:w="4334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наличие у соискателя лицензии (лицензиата) принадлежащих ему на праве собственности или ином законном основании необходимых технических средств и оборудования, прошедших поверку (калибровку) в соответствии с Федеральным </w:t>
            </w:r>
            <w:hyperlink w:history="0" r:id="rId23" w:tooltip="Федеральный закон от 26.06.2008 N 102-ФЗ (ред. от 08.08.2024) &quot;Об обеспечении единства измерений&quot; (с изм. и доп., вступ. в силу с 01.03.2025) {КонсультантПлюс}">
              <w:r>
                <w:rPr>
                  <w:sz w:val="24"/>
                  <w:color w:val="0000ff"/>
                </w:rPr>
                <w:t xml:space="preserve">законом</w:t>
              </w:r>
            </w:hyperlink>
            <w:r>
              <w:rPr>
                <w:sz w:val="24"/>
              </w:rPr>
              <w:t xml:space="preserve"> "Об обеспечении единства измерений";</w:t>
            </w:r>
          </w:p>
        </w:tc>
        <w:tc>
          <w:tcPr>
            <w:gridSpan w:val="2"/>
            <w:tcBorders>
              <w:right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gridSpan w:val="2"/>
            <w:tcBorders>
              <w:left w:val="nil"/>
            </w:tcBorders>
            <w:vMerge w:val="continue"/>
          </w:tcPr>
          <w:p/>
        </w:tc>
        <w:tc>
          <w:tcPr>
            <w:tcW w:w="372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gridSpan w:val="4"/>
            <w:tcW w:w="4334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наличие у индивидуального предпринимателя, юридического лица (соискателя лицензии, лицензиата) работников, заключивших с ним трудовые договоры для осуществления геодезических и картографических работ по должности в соответствии со штатным расписанием, имеющих высшее или среднее профессиональное образование по требуемым специальностям или направлениям подготовки, а также стаж работы не менее одного года по соответствующей специальности или направлению подготовки.</w:t>
            </w:r>
          </w:p>
        </w:tc>
        <w:tc>
          <w:tcPr>
            <w:gridSpan w:val="2"/>
            <w:tcBorders>
              <w:right w:val="nil"/>
            </w:tcBorders>
            <w:vMerge w:val="continue"/>
          </w:tcPr>
          <w:p/>
        </w:tc>
      </w:tr>
      <w:tr>
        <w:tc>
          <w:tcPr>
            <w:gridSpan w:val="2"/>
            <w:tcBorders>
              <w:left w:val="nil"/>
            </w:tcBorders>
            <w:vMerge w:val="continue"/>
          </w:tcPr>
          <w:p/>
        </w:tc>
        <w:tc>
          <w:tcPr>
            <w:gridSpan w:val="5"/>
            <w:tcW w:w="4706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 этом индикатор риска, который может свидетельствовать о риске несоответствия лицензиата такому требованию, не распространяется на случаи, когда соответствующие отклонение было выявлено при поступлении заявления о периодическом подтверждении соответствия, а также на случаи истечения сроков действия документов, являющихся основаниями возникновения прав на такие технические средства и оборудование (за исключением права собственности).</w:t>
            </w:r>
          </w:p>
        </w:tc>
        <w:tc>
          <w:tcPr>
            <w:gridSpan w:val="2"/>
            <w:tcBorders>
              <w:right w:val="nil"/>
            </w:tcBorders>
            <w:vMerge w:val="continue"/>
          </w:tcPr>
          <w:p/>
        </w:tc>
      </w:tr>
      <w:tr>
        <w:tblPrEx>
          <w:tblBorders>
            <w:insideV w:val="nil"/>
            <w:insideH w:val="nil"/>
          </w:tblBorders>
        </w:tblPrEx>
        <w:tc>
          <w:tcPr>
            <w:tcW w:w="136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35"/>
              </w:rPr>
              <w:drawing>
                <wp:inline distT="0" distB="0" distL="0" distR="0">
                  <wp:extent cx="604520" cy="60452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520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физические лица</w:t>
            </w:r>
          </w:p>
        </w:tc>
        <w:tc>
          <w:tcPr>
            <w:gridSpan w:val="2"/>
            <w:tcW w:w="119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27"/>
              </w:rPr>
              <w:drawing>
                <wp:inline distT="0" distB="0" distL="0" distR="0">
                  <wp:extent cx="614045" cy="50419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045" cy="504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2324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профессиональное сообщество</w:t>
            </w:r>
          </w:p>
        </w:tc>
        <w:tc>
          <w:tcPr>
            <w:tcW w:w="119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25"/>
              </w:rPr>
              <w:drawing>
                <wp:inline distT="0" distB="0" distL="0" distR="0">
                  <wp:extent cx="577850" cy="47561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850" cy="475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5542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органы власти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ind w:left="283"/>
            </w:pPr>
            <w:hyperlink w:history="0" r:id="rId24" w:tooltip="Приказ Росреестра от 06.12.2024 N П/0392/24 &quot;О внесении изменений в Перечень индикаторов риска нарушения обязательных требований при осуществлении Федеральной службой государственной регистрации, кадастра и картографии и ее территориальными органами федерального государственного земельного контроля (надзора), утвержденный приказом Федеральной службы государственной регистрации, кадастра и картографии от 9 июля 2021 г. N П/0303&quot; (Зарегистрировано в Минюсте России 20.01.2025 N 80966) {КонсультантПлюс}">
              <w:r>
                <w:rPr>
                  <w:sz w:val="24"/>
                  <w:color w:val="0000ff"/>
                </w:rPr>
                <w:t xml:space="preserve">Приказ</w:t>
              </w:r>
            </w:hyperlink>
            <w:r>
              <w:rPr>
                <w:sz w:val="24"/>
              </w:rPr>
              <w:t xml:space="preserve"> Росреестра от 06.12.2024 N П/0392/24 "О внесении изменения в Перечень индикаторов риска нарушения обязательных требований при осуществлении Федеральной службой государственной регистрации, кадастра и картографии и ее территориальными органами федерального государственного земельного контроля (надзора), утвержденный приказом Федеральной службы государственной регистрации, кадастра и картографии от 9 июля 2021 г. N П/0303"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(вступил в силу 01.02.2025)</w:t>
            </w:r>
          </w:p>
        </w:tc>
      </w:tr>
      <w:tr>
        <w:tc>
          <w:tcPr>
            <w:gridSpan w:val="2"/>
            <w:tcW w:w="3345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Аудитория</w:t>
            </w:r>
          </w:p>
        </w:tc>
        <w:tc>
          <w:tcPr>
            <w:gridSpan w:val="5"/>
            <w:tcW w:w="470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Было</w:t>
            </w:r>
          </w:p>
        </w:tc>
        <w:tc>
          <w:tcPr>
            <w:gridSpan w:val="2"/>
            <w:tcW w:w="5542" w:type="dxa"/>
            <w:tcBorders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Стало</w:t>
            </w:r>
          </w:p>
        </w:tc>
      </w:tr>
      <w:tr>
        <w:tc>
          <w:tcPr>
            <w:gridSpan w:val="2"/>
            <w:tcW w:w="3345" w:type="dxa"/>
            <w:vAlign w:val="center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36"/>
              </w:rPr>
              <w:drawing>
                <wp:inline distT="0" distB="0" distL="0" distR="0">
                  <wp:extent cx="1896110" cy="61087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6110" cy="610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Несоответствие площади земельного участка, используемого юридическим лицом, индивидуальным предпринимателем или гражданином, площади участка, сведения о которой содержатся в ЕГРН, является индикатором риска нарушения обязательных требований, т.е. основанием для проведения Росреестром контрольного (надзорного) мероприятия.</w:t>
            </w:r>
          </w:p>
        </w:tc>
        <w:tc>
          <w:tcPr>
            <w:gridSpan w:val="2"/>
            <w:tcW w:w="5542" w:type="dxa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Несоответствие площади земельного участка, используемого юридическим лицом, индивидуальным предпринимателем или гражданином, площади участка, сведения о которой содержатся в ЕГРН, не относится к индикаторам риска и является нарушением обязательных требований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136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35"/>
              </w:rPr>
              <w:drawing>
                <wp:inline distT="0" distB="0" distL="0" distR="0">
                  <wp:extent cx="604520" cy="60452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520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физические лица</w:t>
            </w:r>
          </w:p>
        </w:tc>
        <w:tc>
          <w:tcPr>
            <w:gridSpan w:val="2"/>
            <w:tcW w:w="119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27"/>
              </w:rPr>
              <w:drawing>
                <wp:inline distT="0" distB="0" distL="0" distR="0">
                  <wp:extent cx="614045" cy="50419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045" cy="504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2324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профессиональное сообщество</w:t>
            </w:r>
          </w:p>
        </w:tc>
        <w:tc>
          <w:tcPr>
            <w:tcW w:w="119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25"/>
              </w:rPr>
              <w:drawing>
                <wp:inline distT="0" distB="0" distL="0" distR="0">
                  <wp:extent cx="577850" cy="47561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850" cy="475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5542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органы власти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ind w:left="283"/>
            </w:pPr>
            <w:hyperlink w:history="0" r:id="rId25" w:tooltip="Приказ Росреестра от 29.10.2024 N П/0341/24 &quot;Об утверждении формы оценочного листа, в соответствии с которым Федеральной службой государственной регистрации, кадастра и картографии при осуществлении лицензирования геодезической и картографической деятельности проводится оценка соответствия соискателя лицензии или лицензиата лицензионным требованиям&quot; (Зарегистрировано в Минюсте России 27.01.2025 N 81042) {КонсультантПлюс}">
              <w:r>
                <w:rPr>
                  <w:sz w:val="24"/>
                  <w:color w:val="0000ff"/>
                </w:rPr>
                <w:t xml:space="preserve">Приказ</w:t>
              </w:r>
            </w:hyperlink>
            <w:r>
              <w:rPr>
                <w:sz w:val="24"/>
              </w:rPr>
              <w:t xml:space="preserve"> Росреестра от 29.10.2024 N П/0341/24 "Об утверждении формы оценочного листа, в соответствии с которым Федеральной службой государственной регистрации, кадастра и картографии при осуществлении лицензирования геодезической и картографической деятельности проводится оценка соответствия соискателя лицензии или лицензиата лицензионным требованиям"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vAlign w:val="bottom"/>
            <w:tcBorders>
              <w:top w:val="nil"/>
              <w:left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(вступил в силу 08.02.2025)</w:t>
            </w:r>
          </w:p>
        </w:tc>
      </w:tr>
      <w:tr>
        <w:tc>
          <w:tcPr>
            <w:gridSpan w:val="2"/>
            <w:tcW w:w="3345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Аудитория</w:t>
            </w:r>
          </w:p>
        </w:tc>
        <w:tc>
          <w:tcPr>
            <w:gridSpan w:val="5"/>
            <w:tcW w:w="470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Было</w:t>
            </w:r>
          </w:p>
        </w:tc>
        <w:tc>
          <w:tcPr>
            <w:gridSpan w:val="2"/>
            <w:tcW w:w="5542" w:type="dxa"/>
            <w:tcBorders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Стало</w:t>
            </w:r>
          </w:p>
        </w:tc>
      </w:tr>
      <w:tr>
        <w:tc>
          <w:tcPr>
            <w:gridSpan w:val="2"/>
            <w:tcW w:w="3345" w:type="dxa"/>
            <w:vAlign w:val="center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36"/>
              </w:rPr>
              <w:drawing>
                <wp:inline distT="0" distB="0" distL="0" distR="0">
                  <wp:extent cx="1896110" cy="61087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6110" cy="610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</w:tcPr>
          <w:p>
            <w:pPr>
              <w:pStyle w:val="0"/>
            </w:pPr>
            <w:hyperlink w:history="0" r:id="rId26" w:tooltip="Приказ Росреестра от 14.01.2022 N П/0005 &quot;Об утверждении формы оценочного листа, в соответствии с которым Федеральной службой государственной регистрации, кадастра и картографии проводится оценка соответствия соискателя лицензии или лицензиата лицензионным требованиям при осуществлении геодезической и картографической деятельности&quot; (Зарегистрировано в Минюсте России 14.02.2022 N 67272) ------------ Утратил силу или отменен {КонсультантПлюс}">
              <w:r>
                <w:rPr>
                  <w:sz w:val="24"/>
                  <w:color w:val="0000ff"/>
                </w:rPr>
                <w:t xml:space="preserve">Оценочный лист</w:t>
              </w:r>
            </w:hyperlink>
            <w:r>
              <w:rPr>
                <w:sz w:val="24"/>
              </w:rPr>
              <w:t xml:space="preserve">, в соответствии с которым Росреестром проводится оценка соответствия соискателя лицензии или лицензиата лицензионным требованиям при осуществлении лицензирования геодезической и картографической деятельности, утвержден приказом Росреестра от 14.01.2022 N П/0005.</w:t>
            </w:r>
          </w:p>
          <w:p>
            <w:pPr>
              <w:pStyle w:val="0"/>
            </w:pPr>
            <w:r>
              <w:rPr>
                <w:sz w:val="24"/>
              </w:rPr>
              <w:t xml:space="preserve">Оценочный лист содержит контрольные вопросы, которые не учитывают изменения, внесенные в </w:t>
            </w:r>
            <w:hyperlink w:history="0" r:id="rId27" w:tooltip="Постановление Правительства РФ от 28.07.2020 N 1126 (ред. от 09.02.2024) &quot;О лицензировании геодезической и картографической деятельности&quot; (вместе с &quot;Положением о лицензировании геодезической и картографической деятельности&quot;) {КонсультантПлюс}">
              <w:r>
                <w:rPr>
                  <w:sz w:val="24"/>
                  <w:color w:val="0000ff"/>
                </w:rPr>
                <w:t xml:space="preserve">Положение</w:t>
              </w:r>
            </w:hyperlink>
            <w:r>
              <w:rPr>
                <w:sz w:val="24"/>
              </w:rPr>
              <w:t xml:space="preserve"> о лицензировании геодезической и картографической деятельности, утвержденное постановлением Правительства РФ от 28.07.2020 N 1126.</w:t>
            </w:r>
          </w:p>
        </w:tc>
        <w:tc>
          <w:tcPr>
            <w:gridSpan w:val="2"/>
            <w:tcW w:w="5542" w:type="dxa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Актуализированный </w:t>
            </w:r>
            <w:hyperlink w:history="0" r:id="rId28" w:tooltip="Приказ Росреестра от 29.10.2024 N П/0341/24 &quot;Об утверждении формы оценочного листа, в соответствии с которым Федеральной службой государственной регистрации, кадастра и картографии при осуществлении лицензирования геодезической и картографической деятельности проводится оценка соответствия соискателя лицензии или лицензиата лицензионным требованиям&quot; (Зарегистрировано в Минюсте России 27.01.2025 N 81042) {КонсультантПлюс}">
              <w:r>
                <w:rPr>
                  <w:sz w:val="24"/>
                  <w:color w:val="0000ff"/>
                </w:rPr>
                <w:t xml:space="preserve">оценочный лист</w:t>
              </w:r>
            </w:hyperlink>
            <w:r>
              <w:rPr>
                <w:sz w:val="24"/>
              </w:rPr>
              <w:t xml:space="preserve">, в соответствии с которым проводится оценка соответствия соискателя лицензии (лицензиата) лицензионным требованиям, утвержден приказом Росреестра от 29.10.2024 N П/0341/24. Оценочным листом предусмотрены контрольные вопросы, позволяющие оценить соответствие соискателя лицензии (лицензиата) лицензионным требованиям, предъявляемым к субъектам, выполняющим геодезические и картографические работам в целях установления, изменения границ зон с особыми условиями использования территорий в части наличия у заявителей работников, не имеющих профильного высшего образования, но получивших дополнительное профессиональное образование по программам профессиональной переподготовки в области кадастровых отношений, картографии, геоинформатики, геодезии, дистанционного зондирования, прикладной геодезии или землеустройства, а также необходимого стажа работ.</w:t>
            </w:r>
          </w:p>
          <w:p>
            <w:pPr>
              <w:pStyle w:val="0"/>
            </w:pPr>
            <w:r>
              <w:rPr>
                <w:sz w:val="24"/>
              </w:rPr>
              <w:t xml:space="preserve">Кроме того, оценочный лист дополнен новым столбцом "неприменимо", который заполняется в случае, если соответствующие обязательные требования не предъявляются к соискателям лицензии (лицензиатам), необходимой для выполнения заявленных видов работ. При этом в новом столбце "примечание" указываются соответствующие сведения.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136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35"/>
              </w:rPr>
              <w:drawing>
                <wp:inline distT="0" distB="0" distL="0" distR="0">
                  <wp:extent cx="604520" cy="60452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520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физические лица</w:t>
            </w:r>
          </w:p>
        </w:tc>
        <w:tc>
          <w:tcPr>
            <w:gridSpan w:val="2"/>
            <w:tcW w:w="119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27"/>
              </w:rPr>
              <w:drawing>
                <wp:inline distT="0" distB="0" distL="0" distR="0">
                  <wp:extent cx="614045" cy="50419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045" cy="504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2324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профессиональное сообщество</w:t>
            </w:r>
          </w:p>
        </w:tc>
        <w:tc>
          <w:tcPr>
            <w:tcW w:w="119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25"/>
              </w:rPr>
              <w:drawing>
                <wp:inline distT="0" distB="0" distL="0" distR="0">
                  <wp:extent cx="577850" cy="47561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850" cy="475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5542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органы власти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1361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outlineLvl w:val="0"/>
              <w:jc w:val="center"/>
            </w:pPr>
            <w:r>
              <w:rPr>
                <w:position w:val="-52"/>
              </w:rPr>
              <w:drawing>
                <wp:inline distT="0" distB="0" distL="0" distR="0">
                  <wp:extent cx="785495" cy="82296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495" cy="822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4"/>
            <w:tcW w:w="3685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Росреестр</w:t>
            </w:r>
          </w:p>
          <w:p>
            <w:pPr>
              <w:pStyle w:val="0"/>
            </w:pPr>
            <w:r>
              <w:rPr>
                <w:sz w:val="24"/>
              </w:rPr>
              <w:t xml:space="preserve">Федеральная служба</w:t>
            </w:r>
          </w:p>
          <w:p>
            <w:pPr>
              <w:pStyle w:val="0"/>
            </w:pPr>
            <w:r>
              <w:rPr>
                <w:sz w:val="24"/>
              </w:rPr>
              <w:t xml:space="preserve">государственной регистрации,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кадастра и картографии</w:t>
            </w:r>
          </w:p>
        </w:tc>
        <w:tc>
          <w:tcPr>
            <w:gridSpan w:val="4"/>
            <w:tcW w:w="8547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Создание государственной геодезической сети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ind w:left="283"/>
            </w:pPr>
            <w:r>
              <w:rPr>
                <w:sz w:val="24"/>
              </w:rPr>
              <w:t xml:space="preserve">Приказ</w:t>
            </w:r>
            <w:r>
              <w:rPr>
                <w:sz w:val="24"/>
              </w:rPr>
              <w:t xml:space="preserve"> Росреестра от 27.01.2025 N П/0014/25 "О внесении изменений в требования к созданию государственной геодезической сети, включая требования к геодезическим пунктам, установленные приказом Федеральной службы государственной регистрации от 19 сентября 2022 г. N П/0344"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vAlign w:val="center"/>
            <w:tcBorders>
              <w:top w:val="nil"/>
              <w:left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(вступил в силу 11.03.2025)</w:t>
            </w:r>
          </w:p>
        </w:tc>
      </w:tr>
      <w:tr>
        <w:tc>
          <w:tcPr>
            <w:gridSpan w:val="2"/>
            <w:tcW w:w="3345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Аудитория</w:t>
            </w:r>
          </w:p>
        </w:tc>
        <w:tc>
          <w:tcPr>
            <w:gridSpan w:val="5"/>
            <w:tcW w:w="470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Было</w:t>
            </w:r>
          </w:p>
        </w:tc>
        <w:tc>
          <w:tcPr>
            <w:gridSpan w:val="2"/>
            <w:tcW w:w="5542" w:type="dxa"/>
            <w:tcBorders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Стало</w:t>
            </w:r>
          </w:p>
        </w:tc>
      </w:tr>
      <w:tr>
        <w:tc>
          <w:tcPr>
            <w:gridSpan w:val="2"/>
            <w:tcW w:w="3345" w:type="dxa"/>
            <w:vAlign w:val="center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36"/>
              </w:rPr>
              <w:drawing>
                <wp:inline distT="0" distB="0" distL="0" distR="0">
                  <wp:extent cx="1896110" cy="61087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6110" cy="610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Пункты государственной геодезической сети создаются с учетом </w:t>
            </w:r>
            <w:hyperlink w:history="0" r:id="rId29" w:tooltip="Распоряжение Правительства РФ от 03.11.2016 N 2347-р &lt;Об утверждении норм плотности размещения на территории Российской Федерации геодезических пунктов государственной геодезической сети, нивелирных пунктов государственной нивелирной сети и гравиметрических пунктов государственной гравиметрической сети&gt; ------------ Утратил силу или отменен {КонсультантПлюс}">
              <w:r>
                <w:rPr>
                  <w:sz w:val="24"/>
                  <w:color w:val="0000ff"/>
                </w:rPr>
                <w:t xml:space="preserve">норм</w:t>
              </w:r>
            </w:hyperlink>
            <w:r>
              <w:rPr>
                <w:sz w:val="24"/>
              </w:rPr>
              <w:t xml:space="preserve"> плотности размещения на территории Российской Федерации геодезических пунктов государственной геодезической сети, нивелирных пунктов государственной нивелирной сети и гравиметрических пунктов государственной гравиметрической сети, утвержденных распоряжением Правительства РФ от 3 ноября 2016 г. N 2347-р</w:t>
            </w:r>
          </w:p>
        </w:tc>
        <w:tc>
          <w:tcPr>
            <w:gridSpan w:val="2"/>
            <w:tcW w:w="5542" w:type="dxa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Пункты государственной геодезической сети создаются с учетом </w:t>
            </w:r>
            <w:hyperlink w:history="0" r:id="rId30" w:tooltip="Приказ Росреестра от 05.03.2024 N П/0051/24 &quot;Об утверждении Требований к размещению на территории Российской Федерации геодезических пунктов государственной геодезической сети, нивелирных пунктов государственной нивелирной сети и гравиметрических пунктов государственной гравиметрической сети&quot; (Зарегистрировано в Минюсте России 26.04.2024 N 78016) {КонсультантПлюс}">
              <w:r>
                <w:rPr>
                  <w:sz w:val="24"/>
                  <w:color w:val="0000ff"/>
                </w:rPr>
                <w:t xml:space="preserve">Требований</w:t>
              </w:r>
            </w:hyperlink>
            <w:r>
              <w:rPr>
                <w:sz w:val="24"/>
              </w:rPr>
              <w:t xml:space="preserve"> к размещению на территории Российской Федерации геодезических пунктов государственной геодезической сети, нивелирных пунктов государственной нивелирной сети и гравиметрических пунктов государственной гравиметрической сети, утвержденных приказом Федеральной службы государственной регистрации, кадастра и картографии от 5 марта 2024 г. N П/0051/24.</w:t>
            </w:r>
          </w:p>
        </w:tc>
      </w:tr>
      <w:tr>
        <w:tc>
          <w:tcPr>
            <w:gridSpan w:val="2"/>
            <w:tcW w:w="3345" w:type="dxa"/>
            <w:vAlign w:val="center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41"/>
              </w:rPr>
              <w:drawing>
                <wp:inline distT="0" distB="0" distL="0" distR="0">
                  <wp:extent cx="1798955" cy="67310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8955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При создании фрагментов спутниковой геодезической сети 1 класса не менее 30% создаваемых пунктов совмещается с пунктами главной высотной основы, не менее 30% совмещается с пунктами сетей триангуляции и (или) сетей полигонометрии, высоты которых определены геометрическим нивелированием. Остальные закрепляются новыми центрами с возможностью принудительного центрирования.</w:t>
            </w:r>
          </w:p>
        </w:tc>
        <w:tc>
          <w:tcPr>
            <w:gridSpan w:val="2"/>
            <w:tcW w:w="5542" w:type="dxa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 создании фрагментов спутниковой геодезической сети 1 класса не менее 30% создаваемых пунктов совмещается с пунктами главной высотной основы, не менее 30% совмещается с пунктами астрономо-геодезической сети 1 и 2 классов и (или) геодезической сети сгущения 3 и 4 классов, высоты которых определены геометрическим нивелированием. Остальные закрепляются новыми центрами с возможностью принудительного центрирования.</w:t>
            </w:r>
          </w:p>
        </w:tc>
      </w:tr>
      <w:tr>
        <w:tc>
          <w:tcPr>
            <w:gridSpan w:val="2"/>
            <w:tcW w:w="3345" w:type="dxa"/>
            <w:vAlign w:val="center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41"/>
              </w:rPr>
              <w:drawing>
                <wp:inline distT="0" distB="0" distL="0" distR="0">
                  <wp:extent cx="1798955" cy="67310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8955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</w:tcPr>
          <w:p>
            <w:pPr>
              <w:pStyle w:val="0"/>
            </w:pPr>
            <w:r>
              <w:rPr>
                <w:sz w:val="24"/>
              </w:rPr>
              <w:t xml:space="preserve">Математическая обработка измерений в государственных геодезических сетях выполняется поэтапно по мере накопления материалов.</w:t>
            </w:r>
          </w:p>
        </w:tc>
        <w:tc>
          <w:tcPr>
            <w:gridSpan w:val="2"/>
            <w:tcW w:w="5542" w:type="dxa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Математическая обработка измерений при создании новых пунктов в государственных геодезических сетях выполняется поэтапно по мере накопления материалов.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136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35"/>
              </w:rPr>
              <w:drawing>
                <wp:inline distT="0" distB="0" distL="0" distR="0">
                  <wp:extent cx="604520" cy="60452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520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физические лица</w:t>
            </w:r>
          </w:p>
        </w:tc>
        <w:tc>
          <w:tcPr>
            <w:gridSpan w:val="2"/>
            <w:tcW w:w="119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27"/>
              </w:rPr>
              <w:drawing>
                <wp:inline distT="0" distB="0" distL="0" distR="0">
                  <wp:extent cx="614045" cy="50419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045" cy="504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2324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профессиональное сообщество</w:t>
            </w:r>
          </w:p>
        </w:tc>
        <w:tc>
          <w:tcPr>
            <w:tcW w:w="119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25"/>
              </w:rPr>
              <w:drawing>
                <wp:inline distT="0" distB="0" distL="0" distR="0">
                  <wp:extent cx="577850" cy="47561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850" cy="475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5542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органы власти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1361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outlineLvl w:val="0"/>
              <w:jc w:val="center"/>
            </w:pPr>
            <w:r>
              <w:rPr>
                <w:position w:val="-52"/>
              </w:rPr>
              <w:drawing>
                <wp:inline distT="0" distB="0" distL="0" distR="0">
                  <wp:extent cx="785495" cy="82296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495" cy="822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4"/>
            <w:tcW w:w="3685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Росреестр</w:t>
            </w:r>
          </w:p>
          <w:p>
            <w:pPr>
              <w:pStyle w:val="0"/>
            </w:pPr>
            <w:r>
              <w:rPr>
                <w:sz w:val="24"/>
              </w:rPr>
              <w:t xml:space="preserve">Федеральная служба</w:t>
            </w:r>
          </w:p>
          <w:p>
            <w:pPr>
              <w:pStyle w:val="0"/>
            </w:pPr>
            <w:r>
              <w:rPr>
                <w:sz w:val="24"/>
              </w:rPr>
              <w:t xml:space="preserve">государственной регистрации,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кадастра и картографии</w:t>
            </w:r>
          </w:p>
        </w:tc>
        <w:tc>
          <w:tcPr>
            <w:gridSpan w:val="4"/>
            <w:tcW w:w="8547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Формы документов при выполнении комплексных кадастровых работ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ind w:left="283"/>
            </w:pPr>
            <w:hyperlink w:history="0" r:id="rId31" w:tooltip="Приказ Росреестра от 23.10.2024 N П/0328/24 &quot;О внесении изменений в приказы Федеральной службы государственной регистрации, кадастра и картографии от 4 августа 2021 г. N П/0337, от 14 декабря 2021 г. N П/0592 и от 15 марта 2022 г. N П/0082&quot; (Зарегистрировано в Минюсте России 13.03.2025 N 81537) ------------ Не вступил в силу {КонсультантПлюс}">
              <w:r>
                <w:rPr>
                  <w:sz w:val="24"/>
                  <w:color w:val="0000ff"/>
                </w:rPr>
                <w:t xml:space="preserve">Приказ</w:t>
              </w:r>
            </w:hyperlink>
            <w:r>
              <w:rPr>
                <w:sz w:val="24"/>
              </w:rPr>
              <w:t xml:space="preserve"> Росреестра от 23.10.2024 N П/0328/24 "О внесении изменений в приказы Федеральной службы государственной регистрации, кадастра и картографии от 4 августа 2021 г. N П/0337, от 14 декабря 2021 г. N П/0592 и от 15 марта 2022 г. N П/0082"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vAlign w:val="center"/>
            <w:tcBorders>
              <w:top w:val="nil"/>
              <w:left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(вступает в силу 01.02.2026)</w:t>
            </w:r>
          </w:p>
        </w:tc>
      </w:tr>
      <w:tr>
        <w:tc>
          <w:tcPr>
            <w:gridSpan w:val="2"/>
            <w:tcW w:w="3345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Аудитория</w:t>
            </w:r>
          </w:p>
        </w:tc>
        <w:tc>
          <w:tcPr>
            <w:gridSpan w:val="5"/>
            <w:tcW w:w="470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Было</w:t>
            </w:r>
          </w:p>
        </w:tc>
        <w:tc>
          <w:tcPr>
            <w:gridSpan w:val="2"/>
            <w:tcW w:w="5542" w:type="dxa"/>
            <w:tcBorders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Стало</w:t>
            </w:r>
          </w:p>
        </w:tc>
      </w:tr>
      <w:tr>
        <w:tc>
          <w:tcPr>
            <w:gridSpan w:val="2"/>
            <w:tcW w:w="3345" w:type="dxa"/>
            <w:vAlign w:val="center"/>
            <w:tcBorders>
              <w:left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position w:val="-36"/>
              </w:rPr>
              <w:drawing>
                <wp:inline distT="0" distB="0" distL="0" distR="0">
                  <wp:extent cx="1896110" cy="61087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6110" cy="610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5"/>
            <w:tcW w:w="4706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 карте-плане территории, межевом плане, техническом плане указываются:</w:t>
            </w:r>
          </w:p>
        </w:tc>
        <w:tc>
          <w:tcPr>
            <w:gridSpan w:val="2"/>
            <w:tcW w:w="5542" w:type="dxa"/>
            <w:tcBorders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 карте-плане территории, межевом плане, техническом плане указываются: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gridSpan w:val="2"/>
            <w:tcBorders>
              <w:right w:val="single" w:sz="4"/>
            </w:tcBorders>
            <w:vMerge w:val="continue"/>
          </w:tcPr>
          <w:p/>
        </w:tc>
        <w:tc>
          <w:tcPr>
            <w:tcW w:w="372" w:type="dxa"/>
            <w:tcBorders>
              <w:top w:val="nil"/>
              <w:left w:val="single" w:sz="4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gridSpan w:val="4"/>
            <w:tcW w:w="4334" w:type="dxa"/>
            <w:tcBorders>
              <w:top w:val="nil"/>
              <w:bottom w:val="nil"/>
              <w:right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адрес объекта недвижимости, присвоенный в соответствии с </w:t>
            </w:r>
            <w:hyperlink w:history="0" r:id="rId32" w:tooltip="Постановление Правительства РФ от 19.11.2014 N 1221 (ред. от 07.04.2025) &quot;Об утверждении Правил присвоения, изменения и аннулирования адресов&quot; {КонсультантПлюс}">
              <w:r>
                <w:rPr>
                  <w:sz w:val="24"/>
                  <w:color w:val="0000ff"/>
                </w:rPr>
                <w:t xml:space="preserve">постановлением</w:t>
              </w:r>
            </w:hyperlink>
            <w:r>
              <w:rPr>
                <w:sz w:val="24"/>
              </w:rPr>
              <w:t xml:space="preserve"> Правительства РФ от 19.11.2014 N 1221 "Об утверждении Правил присвоения, изменения и аннулирования адресов" (Правила N 1221) - при его наличии в государственном адресном реестре;</w:t>
            </w:r>
          </w:p>
        </w:tc>
        <w:tc>
          <w:tcPr>
            <w:tcW w:w="383" w:type="dxa"/>
            <w:tcBorders>
              <w:top w:val="nil"/>
              <w:left w:val="single" w:sz="4"/>
              <w:bottom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5159" w:type="dxa"/>
            <w:tcBorders>
              <w:top w:val="nil"/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сведения об адресе объекта недвижимости (если такой объект является объектом адресации), включающие уникальный номер адреса объекта адресации в государственном адресном реестре (уникальный идентификатор адреса), в том числе присвоенного на основании обращения кадастрового инженера, предусмотренного </w:t>
            </w:r>
            <w:hyperlink w:history="0" r:id="rId33" w:tooltip="Постановление Правительства РФ от 19.11.2014 N 1221 (ред. от 07.04.2025) &quot;Об утверждении Правил присвоения, изменения и аннулирования адресов&quot; {КонсультантПлюс}">
              <w:r>
                <w:rPr>
                  <w:sz w:val="24"/>
                  <w:color w:val="0000ff"/>
                </w:rPr>
                <w:t xml:space="preserve">пунктом 29</w:t>
              </w:r>
            </w:hyperlink>
            <w:r>
              <w:rPr>
                <w:sz w:val="24"/>
              </w:rPr>
              <w:t xml:space="preserve"> Правил N 1221 (при отсутствии на момент выполнения кадастровых работ в государственном адресном реестре адреса объекта адресации, присвоенного в порядке, установленном </w:t>
            </w:r>
            <w:hyperlink w:history="0" r:id="rId34" w:tooltip="Постановление Правительства РФ от 19.11.2014 N 1221 (ред. от 07.04.2025) &quot;Об утверждении Правил присвоения, изменения и аннулирования адресов&quot; {КонсультантПлюс}">
              <w:r>
                <w:rPr>
                  <w:sz w:val="24"/>
                  <w:color w:val="0000ff"/>
                </w:rPr>
                <w:t xml:space="preserve">Правилами</w:t>
              </w:r>
            </w:hyperlink>
            <w:r>
              <w:rPr>
                <w:sz w:val="24"/>
              </w:rPr>
              <w:t xml:space="preserve"> N 1221, и акта уполномоченного органа о присвоении объекту недвижимости адреса в порядке, установленном до вступления в силу </w:t>
            </w:r>
            <w:hyperlink w:history="0" r:id="rId35" w:tooltip="Постановление Правительства РФ от 19.11.2014 N 1221 (ред. от 07.04.2025) &quot;Об утверждении Правил присвоения, изменения и аннулирования адресов&quot; {КонсультантПлюс}">
              <w:r>
                <w:rPr>
                  <w:sz w:val="24"/>
                  <w:color w:val="0000ff"/>
                </w:rPr>
                <w:t xml:space="preserve">Правил</w:t>
              </w:r>
            </w:hyperlink>
            <w:r>
              <w:rPr>
                <w:sz w:val="24"/>
              </w:rPr>
              <w:t xml:space="preserve"> N 1221);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gridSpan w:val="2"/>
            <w:tcBorders>
              <w:right w:val="single" w:sz="4"/>
            </w:tcBorders>
            <w:vMerge w:val="continue"/>
          </w:tcPr>
          <w:p/>
        </w:tc>
        <w:tc>
          <w:tcPr>
            <w:tcW w:w="372" w:type="dxa"/>
            <w:tcBorders>
              <w:top w:val="nil"/>
              <w:left w:val="single" w:sz="4"/>
              <w:bottom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gridSpan w:val="4"/>
            <w:tcW w:w="4334" w:type="dxa"/>
            <w:tcBorders>
              <w:top w:val="nil"/>
              <w:bottom w:val="nil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сведения о местоположении объекта недвижимости в структурированном в соответствии с федеральной информационной адресной системой виде - при отсутствии присвоенного в установленном порядке адреса объекта недвижимости в государственном адресном реестре или адреса, присвоенного до вступления в силу </w:t>
            </w:r>
            <w:hyperlink w:history="0" r:id="rId36" w:tooltip="Постановление Правительства РФ от 19.11.2014 N 1221 (ред. от 07.04.2025) &quot;Об утверждении Правил присвоения, изменения и аннулирования адресов&quot; {КонсультантПлюс}">
              <w:r>
                <w:rPr>
                  <w:sz w:val="24"/>
                  <w:color w:val="0000ff"/>
                </w:rPr>
                <w:t xml:space="preserve">Правил</w:t>
              </w:r>
            </w:hyperlink>
            <w:r>
              <w:rPr>
                <w:sz w:val="24"/>
              </w:rPr>
              <w:t xml:space="preserve"> N 1221.</w:t>
            </w:r>
          </w:p>
        </w:tc>
        <w:tc>
          <w:tcPr>
            <w:tcBorders>
              <w:top w:val="nil"/>
              <w:left w:val="single" w:sz="4"/>
              <w:bottom w:val="nil"/>
            </w:tcBorders>
            <w:vMerge w:val="continue"/>
          </w:tcPr>
          <w:p/>
        </w:tc>
        <w:tc>
          <w:tcPr>
            <w:tcBorders>
              <w:top w:val="nil"/>
              <w:bottom w:val="nil"/>
            </w:tcBorders>
            <w:vMerge w:val="continue"/>
          </w:tcPr>
          <w:p/>
        </w:tc>
      </w:tr>
      <w:tr>
        <w:tblPrEx>
          <w:tblBorders>
            <w:insideV w:val="nil"/>
            <w:insideH w:val="nil"/>
          </w:tblBorders>
        </w:tblPrEx>
        <w:tc>
          <w:tcPr>
            <w:gridSpan w:val="2"/>
            <w:tcBorders>
              <w:right w:val="single" w:sz="4"/>
            </w:tcBorders>
            <w:vMerge w:val="continue"/>
          </w:tcPr>
          <w:p/>
        </w:tc>
        <w:tc>
          <w:tcPr>
            <w:tcBorders>
              <w:top w:val="nil"/>
              <w:left w:val="single" w:sz="4"/>
              <w:bottom w:val="nil"/>
            </w:tcBorders>
            <w:vMerge w:val="continue"/>
          </w:tcPr>
          <w:p/>
        </w:tc>
        <w:tc>
          <w:tcPr>
            <w:gridSpan w:val="4"/>
            <w:tcBorders>
              <w:top w:val="nil"/>
              <w:bottom w:val="nil"/>
              <w:right w:val="single" w:sz="4"/>
            </w:tcBorders>
            <w:vMerge w:val="continue"/>
          </w:tcPr>
          <w:p/>
        </w:tc>
        <w:tc>
          <w:tcPr>
            <w:tcW w:w="383" w:type="dxa"/>
            <w:tcBorders>
              <w:top w:val="nil"/>
              <w:left w:val="single" w:sz="4"/>
              <w:bottom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5159" w:type="dxa"/>
            <w:tcBorders>
              <w:top w:val="nil"/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сведения об ином месте нахождения объекта недвижимости, не являющегося объектом адресации.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2"/>
            <w:tcBorders>
              <w:left w:val="nil"/>
            </w:tcBorders>
            <w:vMerge w:val="continue"/>
          </w:tcPr>
          <w:p/>
        </w:tc>
        <w:tc>
          <w:tcPr>
            <w:gridSpan w:val="5"/>
            <w:tcW w:w="4706" w:type="dxa"/>
            <w:tcBorders>
              <w:top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На практике присвоение адреса объекту адресации при выполнении в отношении него кадастровых (комплексных кадастровых) работ зачастую не осуществляется, а в документах, подготавливаемых на объекты недвижимости (картах-планах территории, межевых планах и технических планах) отсутствуют адреса, подлежащие присвоению таким объектам на основании положений </w:t>
            </w:r>
            <w:hyperlink w:history="0" r:id="rId37" w:tooltip="Постановление Правительства РФ от 19.11.2014 N 1221 (ред. от 07.04.2025) &quot;Об утверждении Правил присвоения, изменения и аннулирования адресов&quot; {КонсультантПлюс}">
              <w:r>
                <w:rPr>
                  <w:sz w:val="24"/>
                  <w:color w:val="0000ff"/>
                </w:rPr>
                <w:t xml:space="preserve">Правил</w:t>
              </w:r>
            </w:hyperlink>
            <w:r>
              <w:rPr>
                <w:sz w:val="24"/>
              </w:rPr>
              <w:t xml:space="preserve"> N 1221.</w:t>
            </w:r>
          </w:p>
        </w:tc>
        <w:tc>
          <w:tcPr>
            <w:tcBorders>
              <w:top w:val="nil"/>
              <w:bottom w:val="nil"/>
              <w:right w:val="nil"/>
            </w:tcBorders>
            <w:vMerge w:val="continue"/>
          </w:tcPr>
          <w:p/>
        </w:tc>
        <w:tc>
          <w:tcPr>
            <w:tcBorders>
              <w:top w:val="nil"/>
              <w:left w:val="nil"/>
              <w:bottom w:val="nil"/>
              <w:right w:val="nil"/>
            </w:tcBorders>
            <w:vMerge w:val="continue"/>
          </w:tcPr>
          <w:p/>
        </w:tc>
      </w:tr>
      <w:tr>
        <w:tc>
          <w:tcPr>
            <w:gridSpan w:val="2"/>
            <w:tcBorders>
              <w:left w:val="nil"/>
            </w:tcBorders>
            <w:vMerge w:val="continue"/>
          </w:tcPr>
          <w:p/>
        </w:tc>
        <w:tc>
          <w:tcPr>
            <w:gridSpan w:val="5"/>
            <w:tcBorders>
              <w:top w:val="nil"/>
            </w:tcBorders>
            <w:vMerge w:val="continue"/>
          </w:tcPr>
          <w:p/>
        </w:tc>
        <w:tc>
          <w:tcPr>
            <w:gridSpan w:val="2"/>
            <w:tcW w:w="5542" w:type="dxa"/>
            <w:tcBorders>
              <w:top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Обеспечивается присвоение адреса объекту адресации при выполнении кадастровых (комплексных кадастровых) работ и внесение соответствующих сведений в государственный адресный реестр (если такой адрес ранее не был присвоен в установленном порядке).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136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35"/>
              </w:rPr>
              <w:drawing>
                <wp:inline distT="0" distB="0" distL="0" distR="0">
                  <wp:extent cx="604520" cy="60452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520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физические лица</w:t>
            </w:r>
          </w:p>
        </w:tc>
        <w:tc>
          <w:tcPr>
            <w:gridSpan w:val="2"/>
            <w:tcW w:w="119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27"/>
              </w:rPr>
              <w:drawing>
                <wp:inline distT="0" distB="0" distL="0" distR="0">
                  <wp:extent cx="614045" cy="50419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045" cy="504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2324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профессиональное сообщество</w:t>
            </w:r>
          </w:p>
        </w:tc>
        <w:tc>
          <w:tcPr>
            <w:tcW w:w="1191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25"/>
              </w:rPr>
              <w:drawing>
                <wp:inline distT="0" distB="0" distL="0" distR="0">
                  <wp:extent cx="577850" cy="47561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850" cy="475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"/>
            <w:tcW w:w="5542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органы власти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1361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position w:val="-52"/>
              </w:rPr>
              <w:drawing>
                <wp:inline distT="0" distB="0" distL="0" distR="0">
                  <wp:extent cx="785495" cy="82296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495" cy="822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4"/>
            <w:tcW w:w="3685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Росреестр</w:t>
            </w:r>
          </w:p>
          <w:p>
            <w:pPr>
              <w:pStyle w:val="0"/>
            </w:pPr>
            <w:r>
              <w:rPr>
                <w:sz w:val="24"/>
              </w:rPr>
              <w:t xml:space="preserve">Федеральная служба</w:t>
            </w:r>
          </w:p>
          <w:p>
            <w:pPr>
              <w:pStyle w:val="0"/>
            </w:pPr>
            <w:r>
              <w:rPr>
                <w:sz w:val="24"/>
              </w:rPr>
              <w:t xml:space="preserve">государственной регистрации,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кадастра и картографии</w:t>
            </w:r>
          </w:p>
        </w:tc>
        <w:tc>
          <w:tcPr>
            <w:gridSpan w:val="4"/>
            <w:tcW w:w="8547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359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position w:val="-308"/>
              </w:rPr>
              <w:drawing>
                <wp:inline distT="0" distB="0" distL="0" distR="0">
                  <wp:extent cx="3181985" cy="406654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1985" cy="4066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6838" w:h="11906" w:orient="landscape"/>
      <w:pgMar w:top="1133" w:right="1440" w:bottom="566" w:left="1440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&lt;Информация&gt; Росреестра</w:t>
            <w:br/>
            <w:t>"Дайджест законодательных изменений в сфере земли и недвижимости. I квартал 2025 года"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image" Target="media/image2.png"/>
	<Relationship Id="rId8" Type="http://schemas.openxmlformats.org/officeDocument/2006/relationships/image" Target="media/image3.png"/>
	<Relationship Id="rId9" Type="http://schemas.openxmlformats.org/officeDocument/2006/relationships/image" Target="media/image4.png"/>
	<Relationship Id="rId10" Type="http://schemas.openxmlformats.org/officeDocument/2006/relationships/image" Target="media/image5.png"/>
	<Relationship Id="rId11" Type="http://schemas.openxmlformats.org/officeDocument/2006/relationships/image" Target="media/image6.png"/>
	<Relationship Id="rId12" Type="http://schemas.openxmlformats.org/officeDocument/2006/relationships/image" Target="media/image7.png"/>
	<Relationship Id="rId13" Type="http://schemas.openxmlformats.org/officeDocument/2006/relationships/hyperlink" Target="https://login.consultant.ru/link/?req=doc&amp;base=LAW&amp;n=497317&amp;date=17.04.2025&amp;demo=2" TargetMode = "External"/>
	<Relationship Id="rId14" Type="http://schemas.openxmlformats.org/officeDocument/2006/relationships/image" Target="media/image8.png"/>
	<Relationship Id="rId15" Type="http://schemas.openxmlformats.org/officeDocument/2006/relationships/hyperlink" Target="https://login.consultant.ru/link/?req=doc&amp;base=LAW&amp;n=494630&amp;date=17.04.2025&amp;dst=997&amp;field=134&amp;demo=2" TargetMode = "External"/>
	<Relationship Id="rId16" Type="http://schemas.openxmlformats.org/officeDocument/2006/relationships/hyperlink" Target="https://login.consultant.ru/link/?req=doc&amp;base=LAW&amp;n=498499&amp;date=17.04.2025&amp;demo=2" TargetMode = "External"/>
	<Relationship Id="rId17" Type="http://schemas.openxmlformats.org/officeDocument/2006/relationships/image" Target="media/image9.png"/>
	<Relationship Id="rId18" Type="http://schemas.openxmlformats.org/officeDocument/2006/relationships/hyperlink" Target="https://login.consultant.ru/link/?req=doc&amp;base=LAW&amp;n=498571&amp;date=17.04.2025&amp;dst=100010&amp;field=134&amp;demo=2" TargetMode = "External"/>
	<Relationship Id="rId19" Type="http://schemas.openxmlformats.org/officeDocument/2006/relationships/hyperlink" Target="https://login.consultant.ru/link/?req=doc&amp;base=LAW&amp;n=494630&amp;date=17.04.2025&amp;dst=1196&amp;field=134&amp;demo=2" TargetMode = "External"/>
	<Relationship Id="rId20" Type="http://schemas.openxmlformats.org/officeDocument/2006/relationships/image" Target="media/image10.png"/>
	<Relationship Id="rId21" Type="http://schemas.openxmlformats.org/officeDocument/2006/relationships/hyperlink" Target="https://login.consultant.ru/link/?req=doc&amp;base=LAW&amp;n=501179&amp;date=17.04.2025&amp;dst=100010&amp;field=134&amp;demo=2" TargetMode = "External"/>
	<Relationship Id="rId22" Type="http://schemas.openxmlformats.org/officeDocument/2006/relationships/hyperlink" Target="https://login.consultant.ru/link/?req=doc&amp;base=LAW&amp;n=501179&amp;date=17.04.2025&amp;dst=100010&amp;field=134&amp;demo=2" TargetMode = "External"/>
	<Relationship Id="rId23" Type="http://schemas.openxmlformats.org/officeDocument/2006/relationships/hyperlink" Target="https://login.consultant.ru/link/?req=doc&amp;base=LAW&amp;n=470975&amp;date=17.04.2025&amp;demo=2" TargetMode = "External"/>
	<Relationship Id="rId24" Type="http://schemas.openxmlformats.org/officeDocument/2006/relationships/hyperlink" Target="https://login.consultant.ru/link/?req=doc&amp;base=LAW&amp;n=496590&amp;date=17.04.2025&amp;demo=2" TargetMode = "External"/>
	<Relationship Id="rId25" Type="http://schemas.openxmlformats.org/officeDocument/2006/relationships/hyperlink" Target="https://login.consultant.ru/link/?req=doc&amp;base=LAW&amp;n=497216&amp;date=17.04.2025&amp;demo=2" TargetMode = "External"/>
	<Relationship Id="rId26" Type="http://schemas.openxmlformats.org/officeDocument/2006/relationships/hyperlink" Target="https://login.consultant.ru/link/?req=doc&amp;base=LAW&amp;n=409470&amp;date=17.04.2025&amp;dst=100011&amp;field=134&amp;demo=2" TargetMode = "External"/>
	<Relationship Id="rId27" Type="http://schemas.openxmlformats.org/officeDocument/2006/relationships/hyperlink" Target="https://login.consultant.ru/link/?req=doc&amp;base=LAW&amp;n=469326&amp;date=17.04.2025&amp;dst=100011&amp;field=134&amp;demo=2" TargetMode = "External"/>
	<Relationship Id="rId28" Type="http://schemas.openxmlformats.org/officeDocument/2006/relationships/hyperlink" Target="https://login.consultant.ru/link/?req=doc&amp;base=LAW&amp;n=497216&amp;date=17.04.2025&amp;dst=100011&amp;field=134&amp;demo=2" TargetMode = "External"/>
	<Relationship Id="rId29" Type="http://schemas.openxmlformats.org/officeDocument/2006/relationships/hyperlink" Target="https://login.consultant.ru/link/?req=doc&amp;base=LAW&amp;n=206812&amp;date=17.04.2025&amp;dst=100007&amp;field=134&amp;demo=2" TargetMode = "External"/>
	<Relationship Id="rId30" Type="http://schemas.openxmlformats.org/officeDocument/2006/relationships/hyperlink" Target="https://login.consultant.ru/link/?req=doc&amp;base=LAW&amp;n=475424&amp;date=17.04.2025&amp;dst=100009&amp;field=134&amp;demo=2" TargetMode = "External"/>
	<Relationship Id="rId31" Type="http://schemas.openxmlformats.org/officeDocument/2006/relationships/hyperlink" Target="https://login.consultant.ru/link/?req=doc&amp;base=LAW&amp;n=500938&amp;date=17.04.2025&amp;demo=2" TargetMode = "External"/>
	<Relationship Id="rId32" Type="http://schemas.openxmlformats.org/officeDocument/2006/relationships/hyperlink" Target="https://login.consultant.ru/link/?req=doc&amp;base=LAW&amp;n=502780&amp;date=17.04.2025&amp;demo=2" TargetMode = "External"/>
	<Relationship Id="rId33" Type="http://schemas.openxmlformats.org/officeDocument/2006/relationships/hyperlink" Target="https://login.consultant.ru/link/?req=doc&amp;base=LAW&amp;n=502780&amp;date=17.04.2025&amp;dst=76&amp;field=134&amp;demo=2" TargetMode = "External"/>
	<Relationship Id="rId34" Type="http://schemas.openxmlformats.org/officeDocument/2006/relationships/hyperlink" Target="https://login.consultant.ru/link/?req=doc&amp;base=LAW&amp;n=502780&amp;date=17.04.2025&amp;dst=100015&amp;field=134&amp;demo=2" TargetMode = "External"/>
	<Relationship Id="rId35" Type="http://schemas.openxmlformats.org/officeDocument/2006/relationships/hyperlink" Target="https://login.consultant.ru/link/?req=doc&amp;base=LAW&amp;n=502780&amp;date=17.04.2025&amp;dst=100015&amp;field=134&amp;demo=2" TargetMode = "External"/>
	<Relationship Id="rId36" Type="http://schemas.openxmlformats.org/officeDocument/2006/relationships/hyperlink" Target="https://login.consultant.ru/link/?req=doc&amp;base=LAW&amp;n=502780&amp;date=17.04.2025&amp;dst=100015&amp;field=134&amp;demo=2" TargetMode = "External"/>
	<Relationship Id="rId37" Type="http://schemas.openxmlformats.org/officeDocument/2006/relationships/hyperlink" Target="https://login.consultant.ru/link/?req=doc&amp;base=LAW&amp;n=502780&amp;date=17.04.2025&amp;dst=100015&amp;field=134&amp;demo=2" TargetMode = "External"/>
	<Relationship Id="rId38" Type="http://schemas.openxmlformats.org/officeDocument/2006/relationships/image" Target="media/image11.png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&lt;Информация&gt; Росреестра
"Дайджест законодательных изменений в сфере земли и недвижимости. I квартал 2025 года"</dc:title>
  <dcterms:created xsi:type="dcterms:W3CDTF">2025-04-17T11:31:18Z</dcterms:created>
</cp:coreProperties>
</file>