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Росгвардии от 20.03.2025 N 104</w:t>
              <w:br/>
              <w:t xml:space="preserve">"О внесении изменений в некоторые нормативные правовые акты Федеральной службы войск национальной гвардии Российской Федерации по вопросам назначения и осуществления единовременных выплат"</w:t>
              <w:br/>
              <w:t xml:space="preserve">(Зарегистрировано в Минюсте России 22.04.2025 N 81933)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22 апреля 2025 г. N 81933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ВОЙСК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марта 2025 г. N 104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НОРМАТИВНЫЕ ПРАВОВЫЕ АКТЫ ФЕДЕРАЛЬНОЙ СЛУЖБЫ</w:t>
      </w:r>
    </w:p>
    <w:p>
      <w:pPr>
        <w:pStyle w:val="2"/>
        <w:jc w:val="center"/>
      </w:pPr>
      <w:r>
        <w:rPr>
          <w:sz w:val="24"/>
        </w:rPr>
        <w:t xml:space="preserve">ВОЙСК НАЦИОНАЛЬНОЙ ГВАРДИИ РОССИЙСКОЙ ФЕДЕРАЦИИ ПО ВОПРОСАМ</w:t>
      </w:r>
    </w:p>
    <w:p>
      <w:pPr>
        <w:pStyle w:val="2"/>
        <w:jc w:val="center"/>
      </w:pPr>
      <w:r>
        <w:rPr>
          <w:sz w:val="24"/>
        </w:rPr>
        <w:t xml:space="preserve">НАЗНАЧЕНИЯ И ОСУЩЕСТВЛЕНИЯ ЕДИНОВРЕМЕННЫХ ВЫПЛАТ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Указ Президента РФ от 09.12.2024 N 1053 &quot;О внесении изменений в некоторые указы Президента Российской Федерации&quot;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r:id="rId8" w:tooltip="Указ Президента РФ от 09.12.2024 N 1053 &quot;О внесении изменений в некоторые указы Президента Российской Федерации&quot;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и </w:t>
      </w:r>
      <w:hyperlink w:history="0" r:id="rId9" w:tooltip="Указ Президента РФ от 09.12.2024 N 1053 &quot;О внесении изменений в некоторые указы Президента Российской Федерации&quot; {КонсультантПлюс}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 Указа Президента Российской Федерации от 9 декабря 2024 г. N 1053 "О внесении изменений в некоторые указы Президента Российской Федерации", </w:t>
      </w:r>
      <w:hyperlink w:history="0" r:id="rId10" w:tooltip="Указ Президента РФ от 05.03.2022 N 98 (ред. от 09.12.2024)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Указа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семей", </w:t>
      </w:r>
      <w:hyperlink w:history="0" r:id="rId11" w:tooltip="Указ Президента РФ от 31.12.2022 N 996 (ред. от 09.12.2024) &quot;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&quot;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Указа Президента Российской Федерации от 31 декабря 2022 г. N 996 "О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семей", </w:t>
      </w:r>
      <w:hyperlink w:history="0" r:id="rId12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Указа Президента Российской Федерации от 11 марта 2024 г. N 181 "О дополнительных социальных гарантиях отдельным категориям лиц", а также </w:t>
      </w:r>
      <w:hyperlink w:history="0" r:id="rId13" w:tooltip="Указ Президента РФ от 30.09.2016 N 510 (ред. от 30.07.2024) &quot;О Федеральной службе войск национальной гвардии Российской Федерации&quot; (вместе с &quot;Положением о Федеральной службе войск национальной гвардии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, </w:t>
      </w:r>
      <w:hyperlink w:history="0" r:id="rId14" w:tooltip="Указ Президента РФ от 30.09.2016 N 510 (ред. от 30.07.2024) &quot;О Федеральной службе войск национальной гвардии Российской Федерации&quot; (вместе с &quot;Положением о Федеральной службе войск национальной гвардии Российской Федерации&quot;) {КонсультантПлюс}">
        <w:r>
          <w:rPr>
            <w:sz w:val="24"/>
            <w:color w:val="0000ff"/>
          </w:rPr>
          <w:t xml:space="preserve">подпунктом 10 пункта 2</w:t>
        </w:r>
      </w:hyperlink>
      <w:r>
        <w:rPr>
          <w:sz w:val="24"/>
        </w:rPr>
        <w:t xml:space="preserve"> Положения о Федеральной службе войск национальной гвардии Российской Федерации, утвержденного Указом Президента Российской Федерации от 30 сентября 2016 г. N 510,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</w:t>
      </w:r>
      <w:hyperlink w:history="0" w:anchor="P3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 в некоторые нормативные правовые акты Федеральной службы войск национальной гвардии Российской Федерации по вопросам назначения и осуществления единовременных выплат согласно приложению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 -</w:t>
      </w:r>
    </w:p>
    <w:p>
      <w:pPr>
        <w:pStyle w:val="0"/>
        <w:jc w:val="right"/>
      </w:pPr>
      <w:r>
        <w:rPr>
          <w:sz w:val="24"/>
        </w:rPr>
        <w:t xml:space="preserve">главнокомандующий войсками</w:t>
      </w:r>
    </w:p>
    <w:p>
      <w:pPr>
        <w:pStyle w:val="0"/>
        <w:jc w:val="right"/>
      </w:pPr>
      <w:r>
        <w:rPr>
          <w:sz w:val="24"/>
        </w:rPr>
        <w:t xml:space="preserve">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генерал армии</w:t>
      </w:r>
    </w:p>
    <w:p>
      <w:pPr>
        <w:pStyle w:val="0"/>
        <w:jc w:val="right"/>
      </w:pPr>
      <w:r>
        <w:rPr>
          <w:sz w:val="24"/>
        </w:rPr>
        <w:t xml:space="preserve">В.В.ЗОЛОТОВ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марта 2025 г. N 104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ВНОСИМЫЕ В НЕКОТОРЫЕ НОРМАТИВНЫЕ ПРАВОВЫЕ АКТЫ ФЕДЕРАЛЬНОЙ</w:t>
      </w:r>
    </w:p>
    <w:p>
      <w:pPr>
        <w:pStyle w:val="2"/>
        <w:jc w:val="center"/>
      </w:pPr>
      <w:r>
        <w:rPr>
          <w:sz w:val="24"/>
        </w:rPr>
        <w:t xml:space="preserve">СЛУЖБЫ ВОЙСК НАЦИОНАЛЬНОЙ ГВАРДИИ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ВОПРОСАМ НАЗНАЧЕНИЯ И ОСУЩЕСТВЛЕНИЯ</w:t>
      </w:r>
    </w:p>
    <w:p>
      <w:pPr>
        <w:pStyle w:val="2"/>
        <w:jc w:val="center"/>
      </w:pPr>
      <w:r>
        <w:rPr>
          <w:sz w:val="24"/>
        </w:rPr>
        <w:t xml:space="preserve">ЕДИНОВРЕМЕННЫХ ВЫПЛАТ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5" w:tooltip="Приказ Росгвардии от 07.03.2022 N 66 (ред. от 19.09.2024) &quot;Об утвержд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11.03.2022 N 67679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назначения и осуществления единовременных выплат, установленных Указом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семей", в войсках национальной гвардии Российской Федерации, утвержденном приказом Федеральной службы войск национальной гвардии Российской Федерации от 7 марта 2022 г. N 66 (зарегистрирован Минюстом России 11 марта 2022 г., регистрационный N 67679), с изменениями, внесенными приказами Федеральной службы войск национальной гвардии Российской Федерации от 20 сентября 2022 г. N 330 (зарегистрирован Минюстом России 7 октября 2022 г., регистрационный N 70409) и от 19 сентября 2024 г. N 332 (зарегистрирован Минюстом России 24 октября 2024 г., регистрационный N 79908):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В </w:t>
      </w:r>
      <w:hyperlink w:history="0" r:id="rId16" w:tooltip="Приказ Росгвардии от 07.03.2022 N 66 (ред. от 19.09.2024) &quot;Об утвержд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11.03.2022 N 67679)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"на территориях Донецкой Народной Республики, Луганской Народной Республики и Украины (далее - специальная военная операция)"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В </w:t>
      </w:r>
      <w:hyperlink w:history="0" r:id="rId17" w:tooltip="Приказ Росгвардии от 07.03.2022 N 66 (ред. от 19.09.2024) &quot;Об утвержд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11.03.2022 N 67679)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1.2.1. </w:t>
      </w:r>
      <w:hyperlink w:history="0" r:id="rId18" w:tooltip="Приказ Росгвардии от 07.03.2022 N 66 (ред. от 19.09.2024) &quot;Об утвержд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11.03.2022 N 67679) {КонсультантПлюс}">
        <w:r>
          <w:rPr>
            <w:sz w:val="24"/>
            <w:color w:val="0000ff"/>
          </w:rPr>
          <w:t xml:space="preserve">Абзац третий подпункта 4.2</w:t>
        </w:r>
      </w:hyperlink>
      <w:r>
        <w:rPr>
          <w:sz w:val="24"/>
        </w:rPr>
        <w:t xml:space="preserve"> дополнить словами ", либо копия справки военно-врачебной комиссии о тяжести увечья (ранения, травмы, контузии) по </w:t>
      </w:r>
      <w:hyperlink w:history="0" r:id="rId19" w:tooltip="Приказ Росгвардии от 20.05.2019 N 166 &quot;Об утверждении форм документации (кроме унифицированных форм медицинской документации), необходимых для деятельности военно-врачебных комиссий, созданных в войсках национальной гвардии Российской Федерации&quot; (Зарегистрировано в Минюсте России 19.06.2019 N 54972) {КонсультантПлюс}">
        <w:r>
          <w:rPr>
            <w:sz w:val="24"/>
            <w:color w:val="0000ff"/>
          </w:rPr>
          <w:t xml:space="preserve">форме N 11</w:t>
        </w:r>
      </w:hyperlink>
      <w:r>
        <w:rPr>
          <w:sz w:val="24"/>
        </w:rPr>
        <w:t xml:space="preserve">, утвержденной приказом Федеральной службы войск национальной гвардии Российской Федерации от 20 мая 2019 г. N 166 "Об утверждении форм документации (кроме унифицированных форм медицинской документации), необходимых для деятельности военно-врачебных комиссий, созданных в войсках национальной гвардии Российской Федерации" (зарегистрирован Минюстом России 19 июня 2019 г., регистрационный N 54972) (далее - справка по форме N 11)".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1.2.2. </w:t>
      </w:r>
      <w:hyperlink w:history="0" r:id="rId20" w:tooltip="Приказ Росгвардии от 07.03.2022 N 66 (ред. от 19.09.2024) &quot;Об утвержд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11.03.2022 N 67679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4.3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"4.3. На выплату, в случае если полученное военнослужащим (сотрудником) увечье (ранение, травма, контузия) повлекло за собой наступление инвалидности: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рапорт военнослужащего (сотрудника, гражданина, уволенного с военной службы (со службы) об осуществлении выплаты;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справки о тяжести увечья (ранения, травмы, контузии), полученного застрахованным лицом, лицом, имеющим право на получение компенсации, либо копия справки по </w:t>
      </w:r>
      <w:hyperlink w:history="0" r:id="rId21" w:tooltip="Приказ Росгвардии от 20.05.2019 N 166 &quot;Об утверждении форм документации (кроме унифицированных форм медицинской документации), необходимых для деятельности военно-врачебных комиссий, созданных в войсках национальной гвардии Российской Федерации&quot; (Зарегистрировано в Минюсте России 19.06.2019 N 54972) {КонсультантПлюс}">
        <w:r>
          <w:rPr>
            <w:sz w:val="24"/>
            <w:color w:val="0000ff"/>
          </w:rPr>
          <w:t xml:space="preserve">форме N 11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справки, подтверждающей факт установления инвалидности, выдаваемой федеральными государственными учреждениями медико-социальной экспертизы &lt;1&gt;;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паспорта гражданина Российской Федерации или иного документа, удостоверяющего личность гражданина в соответствии с законодательством Российской Федерации.".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1.2.3. Абзац четвертый подпункта 4.3 </w:t>
      </w:r>
      <w:hyperlink w:history="0" r:id="rId22" w:tooltip="Приказ Росгвардии от 07.03.2022 N 66 (ред. от 19.09.2024) &quot;Об утвержд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11.03.2022 N 67679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"1"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"&lt;1&gt; </w:t>
      </w:r>
      <w:hyperlink w:history="0" r:id="rId23" w:tooltip="Приказ Минздравсоцразвития России от 24.11.2010 N 1031н (ред. от 17.11.2020) &quot;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&quot; (вместе с &quot;Порядком составления форм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приказу Министерства здравоохранения и социального развития Российской Федерации от 24 ноября 2010 г. N 1031н "О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составления" (зарегистрирован Минюстом России 20 января 2011 г., регистрационный N 19539) с изменениями, внесенными приказами Министерства труда и социальной защиты Российской Федерации от 17 июня 2013 г. N 272н (зарегистрирован Минюстом России 5 августа 2013 г., регистрационный N 29265) и от 17 ноября 2020 г. N 789н (зарегистрирован Минюстом России 21 декабря 2020 г., регистрационный N 61636).".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24" w:tooltip="Приказ Росгвардии от 14.02.2023 N 35 (ред. от 19.09.2024) &quot;Об утверждении Порядка назначения и осуществления единовременных выплат, установленных Указом Президента Российской Федерации от 31 декабря 2022 г. N 996 &quot;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21.0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назначения и осуществления единовременных выплат, установленных Указом Президента Российской Федерации от 31 декабря 2022 г. N 996 "О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семей", в войсках национальной гвардии Российской Федерации, утвержденном приказом Федеральной службы войск национальной гвардии Российской Федерации от 14 февраля 2023 г. N 35 (зарегистрирован Минюстом России 21 марта 2023 г., регистрационный N 72647), с изменениями, внесенными приказом Федеральной службы войск национальной гвардии Российской Федерации от 19 сентября 2024 г. N 332 (зарегистрирован Минюстом России 24 октября 2024 г., регистрационный N 79908) (далее - приказ N 35):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 В </w:t>
      </w:r>
      <w:hyperlink w:history="0" r:id="rId25" w:tooltip="Приказ Росгвардии от 14.02.2023 N 35 (ред. от 19.09.2024) &quot;Об утверждении Порядка назначения и осуществления единовременных выплат, установленных Указом Президента Российской Федерации от 31 декабря 2022 г. N 996 &quot;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21.0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2.1.1. </w:t>
      </w:r>
      <w:hyperlink w:history="0" r:id="rId26" w:tooltip="Приказ Росгвардии от 14.02.2023 N 35 (ред. от 19.09.2024) &quot;Об утверждении Порядка назначения и осуществления единовременных выплат, установленных Указом Президента Российской Федерации от 31 декабря 2022 г. N 996 &quot;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21.0 {КонсультантПлюс}">
        <w:r>
          <w:rPr>
            <w:sz w:val="24"/>
            <w:color w:val="0000ff"/>
          </w:rPr>
          <w:t xml:space="preserve">Абзац третий подпункта 4.2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"копия справки о тяжести увечья (ранения, травмы, контузии), полученного застрахованным лицом, лицом, имеющим право на получение компенсации &lt;1&gt;, либо копия справки военно-врачебной комиссии о тяжести увечья (ранения, травмы, контузии) по </w:t>
      </w:r>
      <w:hyperlink w:history="0" r:id="rId27" w:tooltip="Приказ Росгвардии от 20.05.2019 N 166 &quot;Об утверждении форм документации (кроме унифицированных форм медицинской документации), необходимых для деятельности военно-врачебных комиссий, созданных в войсках национальной гвардии Российской Федерации&quot; (Зарегистрировано в Минюсте России 19.06.2019 N 54972) {КонсультантПлюс}">
        <w:r>
          <w:rPr>
            <w:sz w:val="24"/>
            <w:color w:val="0000ff"/>
          </w:rPr>
          <w:t xml:space="preserve">форме N 11</w:t>
        </w:r>
      </w:hyperlink>
      <w:r>
        <w:rPr>
          <w:sz w:val="24"/>
        </w:rPr>
        <w:t xml:space="preserve">, утвержденной приказом Федеральной службы войск национальной гвардии Российской Федерации от 20 мая 2019 г. N 166 "Об утверждении форм документации (кроме унифицированных форм медицинской документации), необходимых для деятельности военно-врачебных комиссий, созданных в войсках национальной гвардии Российской Федерации" (зарегистрирован Минюстом России 19 июня 2019 г., регистрационный N 54972) (далее - справка по форме N 11);";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8" w:tooltip="Приказ Росгвардии от 14.02.2023 N 35 (ред. от 19.09.2024) &quot;Об утверждении Порядка назначения и осуществления единовременных выплат, установленных Указом Президента Российской Федерации от 31 декабря 2022 г. N 996 &quot;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21.0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"1"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"&lt;1&gt; </w:t>
      </w:r>
      <w:hyperlink w:history="0" r:id="rId29" w:tooltip="Приказ Росгвардии от 08.02.2023 N 21 &quot;Об утверждении Порядка организации работы по обязательному государственному страхованию жизни и здоровья военнослужащих, граждан, призванных на военные сборы, и сотрудников войск национальной гвардии Российской Федерации, а также оформлению и учету документов, необходимых для принятия решения о выплате страховой суммы (компенсации), в войсках национальной гвардии Российской Федерации&quot; (Зарегистрировано в Минюсте России 15.03.2023 N 72593) {КонсультантПлюс}">
        <w:r>
          <w:rPr>
            <w:sz w:val="24"/>
            <w:color w:val="0000ff"/>
          </w:rPr>
          <w:t xml:space="preserve">Приложение N 8</w:t>
        </w:r>
      </w:hyperlink>
      <w:r>
        <w:rPr>
          <w:sz w:val="24"/>
        </w:rPr>
        <w:t xml:space="preserve"> к приказу Федеральной службы войск национальной гвардии Российской Федерации от 8 февраля 2023 г. N 21 "Об утверждении Порядка организации работы по обязательному государственному страхованию жизни и здоровья военнослужащих, граждан, призванных на военные сборы, и сотрудников войск национальной гвардии Российской Федерации, а также оформлению и учету документов, необходимых для принятия решения о выплате страховой суммы (компенсации), в войсках национальной гвардии Российской Федерации" (зарегистрирован Минюстом России 15 марта 2023 г., регистрационный N 72593).".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2.1.2. </w:t>
      </w:r>
      <w:hyperlink w:history="0" r:id="rId30" w:tooltip="Приказ Росгвардии от 14.02.2023 N 35 (ред. от 19.09.2024) &quot;Об утверждении Порядка назначения и осуществления единовременных выплат, установленных Указом Президента Российской Федерации от 31 декабря 2022 г. N 996 &quot;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21.0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4.3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"4.3. На выплату, в случае если полученное военнослужащим (сотрудником) увечье (ранение, травма, контузия) повлекло за собой наступление инвалидности: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рапорт военнослужащего (сотрудника, гражданина, уволенного с военной службы (со службы) об осуществлении выплаты;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справки о тяжести увечья (ранения, травмы, контузии), полученного застрахованным лицом, лицом, имеющим право на получение компенсации, либо копия справки по </w:t>
      </w:r>
      <w:hyperlink w:history="0" r:id="rId31" w:tooltip="Приказ Росгвардии от 20.05.2019 N 166 &quot;Об утверждении форм документации (кроме унифицированных форм медицинской документации), необходимых для деятельности военно-врачебных комиссий, созданных в войсках национальной гвардии Российской Федерации&quot; (Зарегистрировано в Минюсте России 19.06.2019 N 54972) {КонсультантПлюс}">
        <w:r>
          <w:rPr>
            <w:sz w:val="24"/>
            <w:color w:val="0000ff"/>
          </w:rPr>
          <w:t xml:space="preserve">форме N 11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справки, подтверждающей факт установления инвалидности, выдаваемой федеральными государственными учреждениями медико-социальной экспертизы &lt;1&gt;;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паспорта гражданина Российской Федерации или иного документа, удостоверяющего личность гражданина в соответствии с законодательством Российской Федерации.".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2.1.3. Абзац четвертый подпункта 4.3 </w:t>
      </w:r>
      <w:hyperlink w:history="0" r:id="rId32" w:tooltip="Приказ Росгвардии от 14.02.2023 N 35 (ред. от 19.09.2024) &quot;Об утверждении Порядка назначения и осуществления единовременных выплат, установленных Указом Президента Российской Федерации от 31 декабря 2022 г. N 996 &quot;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21.0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"1"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"&lt;1&gt; </w:t>
      </w:r>
      <w:hyperlink w:history="0" r:id="rId33" w:tooltip="Приказ Минздравсоцразвития России от 24.11.2010 N 1031н (ред. от 17.11.2020) &quot;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&quot; (вместе с &quot;Порядком составления форм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приказу Министерства здравоохранения и социального развития Российской Федерации от 24 ноября 2010 г. N 1031н "О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составления" (зарегистрирован Минюстом России 20 января 2011 г., регистрационный N 19539) с изменениями, внесенными приказами Министерства труда и социальной защиты Российской Федерации от 17 июня 2013 г. N 272н (зарегистрирован Минюстом России 5 августа 2013 г., регистрационный N 29265) и от 17 ноября 2020 г. N 789н (зарегистрирован Минюстом России 21 декабря 2020 г., регистрационный N 61636).".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</w:t>
      </w:r>
      <w:hyperlink w:history="0" r:id="rId34" w:tooltip="Приказ Росгвардии от 14.02.2023 N 35 (ред. от 19.09.2024) &quot;Об утверждении Порядка назначения и осуществления единовременных выплат, установленных Указом Президента Российской Федерации от 31 декабря 2022 г. N 996 &quot;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&quot;, в войсках национальной гвардии Российской Федерации&quot; (Зарегистрировано в Минюсте России 21.0 {КонсультантПлюс}">
        <w:r>
          <w:rPr>
            <w:sz w:val="24"/>
            <w:color w:val="0000ff"/>
          </w:rPr>
          <w:t xml:space="preserve">Приложение</w:t>
        </w:r>
      </w:hyperlink>
      <w:r>
        <w:rPr>
          <w:sz w:val="24"/>
        </w:rPr>
        <w:t xml:space="preserve"> к Порядку назначения и осуществления единовременных выплат, установленных Указом Президента Российской Федерации от 31 декабря 2022 г. N 996 "О дополнительных социальных гарантиях военнослужащим и лицам, имеющим специальные звания полиции, проходящим военную службу (службу) в войсках национальной гвардии Российской Федерации, и членам их семей", в войсках национальной гвардии Российской Федерации, утвержденному приказом N 35, признать утратившим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</w:t>
      </w:r>
      <w:hyperlink w:history="0" r:id="rId35" w:tooltip="Приказ Росгвардии от 17.07.2024 N 242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йсках национальной гвардии Российской Федерации&quot; (Зарегистрировано в Минюсте России 22.08.2024 N 79255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и условиях назначения и осуществления единовременных выплат, установленных Указом Президента Российской Федерации от 11 марта 2024 г. N 181 "О дополнительных социальных гарантиях отдельным категориям лиц", в войсках национальной гвардии Российской Федерации, определенных приказом Федеральной службы войск национальной гвардии Российской Федерации от 17 июля 2024 г. N 242 (зарегистрирован Минюстом России 22 августа 2024 г., регистрационный N 79255) (далее - приказ N 242):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В </w:t>
      </w:r>
      <w:hyperlink w:history="0" r:id="rId36" w:tooltip="Приказ Росгвардии от 17.07.2024 N 242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йсках национальной гвардии Российской Федерации&quot; (Зарегистрировано в Минюсте России 22.08.2024 N 79255) {КонсультантПлюс}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3.1.1. </w:t>
      </w:r>
      <w:hyperlink w:history="0" r:id="rId37" w:tooltip="Приказ Росгвардии от 17.07.2024 N 242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йсках национальной гвардии Российской Федерации&quot; (Зарегистрировано в Минюсте России 22.08.2024 N 79255) {КонсультантПлюс}">
        <w:r>
          <w:rPr>
            <w:sz w:val="24"/>
            <w:color w:val="0000ff"/>
          </w:rPr>
          <w:t xml:space="preserve">Абзац четвертый подпункта 7.2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"копия справки о тяжести увечья (ранения, травмы, контузии), полученного застрахованным лицом, лицом, имеющим право на получение компенсации по </w:t>
      </w:r>
      <w:hyperlink w:history="0" r:id="rId38" w:tooltip="Приказ Росгвардии от 08.02.2023 N 21 &quot;Об утверждении Порядка организации работы по обязательному государственному страхованию жизни и здоровья военнослужащих, граждан, призванных на военные сборы, и сотрудников войск национальной гвардии Российской Федерации, а также оформлению и учету документов, необходимых для принятия решения о выплате страховой суммы (компенсации), в войсках национальной гвардии Российской Федерации&quot; (Зарегистрировано в Минюсте России 15.03.2023 N 72593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, утвержденной приказом Федеральной службы войск национальной гвардии Российской Федерации от 8 февраля 2023 г. N 21 "Об утверждении Порядка организации работы по обязательному государственному страхованию жизни и здоровья военнослужащих, граждан, призванных на военные сборы, и сотрудников войск национальной гвардии Российской Федерации, а также оформлению и учету документов, необходимых для принятия решения о выплате страховой суммы (компенсации), в войсках национальной гвардии Российской Федерации" (зарегистрирован Минюстом России 15 марта 2023 г., регистрационный N 72593) (далее - копия справки о тяжести увечья), либо копия справки военно-врачебной комиссии о тяжести увечья (ранения, травмы, контузии) по </w:t>
      </w:r>
      <w:hyperlink w:history="0" r:id="rId39" w:tooltip="Приказ Росгвардии от 20.05.2019 N 166 &quot;Об утверждении форм документации (кроме унифицированных форм медицинской документации), необходимых для деятельности военно-врачебных комиссий, созданных в войсках национальной гвардии Российской Федерации&quot; (Зарегистрировано в Минюсте России 19.06.2019 N 54972) {КонсультантПлюс}">
        <w:r>
          <w:rPr>
            <w:sz w:val="24"/>
            <w:color w:val="0000ff"/>
          </w:rPr>
          <w:t xml:space="preserve">форме N 11</w:t>
        </w:r>
      </w:hyperlink>
      <w:r>
        <w:rPr>
          <w:sz w:val="24"/>
        </w:rPr>
        <w:t xml:space="preserve">, утвержденной приказом Федеральной службы войск национальной гвардии Российской Федерации от 20 мая 2019 г. N 166 "Об утверждении форм документации (кроме унифицированных форм медицинской документации), необходимых для деятельности военно-врачебных комиссий, созданных в войсках национальной гвардии Российской Федерации" (зарегистрирован Минюстом России 19 июня 2019 г., регистрационный N 54972) (далее - копия справки по форме N 11), выданных врачебной комиссией по результатам рассмотрения подлинных медицинских документов, подтверждающих получение гражданским служащим (работником) увечья (ранения, травмы, контузии).".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3.1.2. </w:t>
      </w:r>
      <w:hyperlink w:history="0" r:id="rId40" w:tooltip="Приказ Росгвардии от 17.07.2024 N 242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йсках национальной гвардии Российской Федерации&quot; (Зарегистрировано в Минюсте России 22.08.2024 N 7925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7.3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"7.3. На выплату, в случае если полученное гражданским служащим (работником) увечье (ранение, травма, контузия) повлекло за собой наступление инвалидности: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гражданского служащего (работника, гражданина, уволенного со службы (работы) об осуществлении выплаты;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справки о тяжести увечья (ранения, травмы, контузии), полученного застрахованным лицом, лицом, имеющим право на получение компенсации, либо копия справки по </w:t>
      </w:r>
      <w:hyperlink w:history="0" r:id="rId41" w:tooltip="Приказ Росгвардии от 20.05.2019 N 166 &quot;Об утверждении форм документации (кроме унифицированных форм медицинской документации), необходимых для деятельности военно-врачебных комиссий, созданных в войсках национальной гвардии Российской Федерации&quot; (Зарегистрировано в Минюсте России 19.06.2019 N 54972) {КонсультантПлюс}">
        <w:r>
          <w:rPr>
            <w:sz w:val="24"/>
            <w:color w:val="0000ff"/>
          </w:rPr>
          <w:t xml:space="preserve">форме N 11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справки, подтверждающей факт установления инвалидности, выдаваемой федеральными государственными учреждениями медико-социальной экспертизы &lt;1&gt;;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паспорта гражданина Российской Федерации или иного документа, удостоверяющего личность гражданина в соответствии с законодательством Российской Федерации.".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3.1.3. Абзац четвертый подпункта 7.3 </w:t>
      </w:r>
      <w:hyperlink w:history="0" r:id="rId42" w:tooltip="Приказ Росгвардии от 17.07.2024 N 242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йсках национальной гвардии Российской Федерации&quot; (Зарегистрировано в Минюсте России 22.08.2024 N 7925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"1"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"&lt;1&gt; </w:t>
      </w:r>
      <w:hyperlink w:history="0" r:id="rId43" w:tooltip="Приказ Минздравсоцразвития России от 24.11.2010 N 1031н (ред. от 17.11.2020) &quot;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&quot; (вместе с &quot;Порядком составления форм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приказу Министерства здравоохранения и социального развития Российской Федерации от 24 ноября 2010 г. N 1031н "О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составления" (зарегистрирован Минюстом России 20 января 2011 г., регистрационный N 19539) с изменениями, внесенными приказами Министерства труда и социальной защиты Российской Федерации от 17 июня 2013 г. N 272н (зарегистрирован Минюстом России 5 августа 2013 г., регистрационный N 29265) и от 17 ноября 2020 г. N 789н (зарегистрирован Минюстом России 21 декабря 2020 г., регистрационный N 61636).".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В </w:t>
      </w:r>
      <w:hyperlink w:history="0" r:id="rId44" w:tooltip="Приказ Росгвардии от 17.07.2024 N 242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йсках национальной гвардии Российской Федерации&quot; (Зарегистрировано в Минюсте России 22.08.2024 N 79255) {КонсультантПлюс}">
        <w:r>
          <w:rPr>
            <w:sz w:val="24"/>
            <w:color w:val="0000ff"/>
          </w:rPr>
          <w:t xml:space="preserve">абзаце первом пункта 8</w:t>
        </w:r>
      </w:hyperlink>
      <w:r>
        <w:rPr>
          <w:sz w:val="24"/>
        </w:rPr>
        <w:t xml:space="preserve"> слова "указанных в подпунктах 7.1 и 7.2" заменить словами "указанных в подпунктах 7.1 - 7.3".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</w:t>
      </w:r>
      <w:hyperlink w:history="0" r:id="rId45" w:tooltip="Приказ Росгвардии от 17.07.2024 N 242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йсках национальной гвардии Российской Федерации&quot; (Зарегистрировано в Минюсте России 22.08.2024 N 79255) {КонсультантПлюс}">
        <w:r>
          <w:rPr>
            <w:sz w:val="24"/>
            <w:color w:val="0000ff"/>
          </w:rPr>
          <w:t xml:space="preserve">Приложение</w:t>
        </w:r>
      </w:hyperlink>
      <w:r>
        <w:rPr>
          <w:sz w:val="24"/>
        </w:rPr>
        <w:t xml:space="preserve"> к Порядку и условиям назначения и осуществления единовременных выплат, установленных Указом Президента Российской Федерации от 11 марта 2024 г. N 181 "О дополнительных социальных гарантиях отдельным категориям лиц", в войсках национальной гвардии Российской Федерации, определенным приказом N 242, признать утратившим силу.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Росгвардии от 20.03.2025 N 104</w:t>
            <w:br/>
            <w:t>"О внесении изменений в некоторые нормативные правовые акты Федеральной службы вой...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2685&amp;date=24.04.2025&amp;dst=100006&amp;field=134&amp;demo=2" TargetMode = "External"/>
	<Relationship Id="rId8" Type="http://schemas.openxmlformats.org/officeDocument/2006/relationships/hyperlink" Target="https://login.consultant.ru/link/?req=doc&amp;base=LAW&amp;n=492685&amp;date=24.04.2025&amp;dst=100016&amp;field=134&amp;demo=2" TargetMode = "External"/>
	<Relationship Id="rId9" Type="http://schemas.openxmlformats.org/officeDocument/2006/relationships/hyperlink" Target="https://login.consultant.ru/link/?req=doc&amp;base=LAW&amp;n=492685&amp;date=24.04.2025&amp;dst=100026&amp;field=134&amp;demo=2" TargetMode = "External"/>
	<Relationship Id="rId10" Type="http://schemas.openxmlformats.org/officeDocument/2006/relationships/hyperlink" Target="https://login.consultant.ru/link/?req=doc&amp;base=LAW&amp;n=492758&amp;date=24.04.2025&amp;dst=100012&amp;field=134&amp;demo=2" TargetMode = "External"/>
	<Relationship Id="rId11" Type="http://schemas.openxmlformats.org/officeDocument/2006/relationships/hyperlink" Target="https://login.consultant.ru/link/?req=doc&amp;base=LAW&amp;n=492761&amp;date=24.04.2025&amp;dst=100013&amp;field=134&amp;demo=2" TargetMode = "External"/>
	<Relationship Id="rId12" Type="http://schemas.openxmlformats.org/officeDocument/2006/relationships/hyperlink" Target="https://login.consultant.ru/link/?req=doc&amp;base=LAW&amp;n=492755&amp;date=24.04.2025&amp;dst=100013&amp;field=134&amp;demo=2" TargetMode = "External"/>
	<Relationship Id="rId13" Type="http://schemas.openxmlformats.org/officeDocument/2006/relationships/hyperlink" Target="https://login.consultant.ru/link/?req=doc&amp;base=LAW&amp;n=481892&amp;date=24.04.2025&amp;dst=100361&amp;field=134&amp;demo=2" TargetMode = "External"/>
	<Relationship Id="rId14" Type="http://schemas.openxmlformats.org/officeDocument/2006/relationships/hyperlink" Target="https://login.consultant.ru/link/?req=doc&amp;base=LAW&amp;n=481892&amp;date=24.04.2025&amp;dst=100044&amp;field=134&amp;demo=2" TargetMode = "External"/>
	<Relationship Id="rId15" Type="http://schemas.openxmlformats.org/officeDocument/2006/relationships/hyperlink" Target="https://login.consultant.ru/link/?req=doc&amp;base=LAW&amp;n=489134&amp;date=24.04.2025&amp;dst=100009&amp;field=134&amp;demo=2" TargetMode = "External"/>
	<Relationship Id="rId16" Type="http://schemas.openxmlformats.org/officeDocument/2006/relationships/hyperlink" Target="https://login.consultant.ru/link/?req=doc&amp;base=LAW&amp;n=489134&amp;date=24.04.2025&amp;dst=17&amp;field=134&amp;demo=2" TargetMode = "External"/>
	<Relationship Id="rId17" Type="http://schemas.openxmlformats.org/officeDocument/2006/relationships/hyperlink" Target="https://login.consultant.ru/link/?req=doc&amp;base=LAW&amp;n=489134&amp;date=24.04.2025&amp;dst=20&amp;field=134&amp;demo=2" TargetMode = "External"/>
	<Relationship Id="rId18" Type="http://schemas.openxmlformats.org/officeDocument/2006/relationships/hyperlink" Target="https://login.consultant.ru/link/?req=doc&amp;base=LAW&amp;n=489134&amp;date=24.04.2025&amp;dst=24&amp;field=134&amp;demo=2" TargetMode = "External"/>
	<Relationship Id="rId19" Type="http://schemas.openxmlformats.org/officeDocument/2006/relationships/hyperlink" Target="https://login.consultant.ru/link/?req=doc&amp;base=LAW&amp;n=327416&amp;date=24.04.2025&amp;dst=100488&amp;field=134&amp;demo=2" TargetMode = "External"/>
	<Relationship Id="rId20" Type="http://schemas.openxmlformats.org/officeDocument/2006/relationships/hyperlink" Target="https://login.consultant.ru/link/?req=doc&amp;base=LAW&amp;n=489134&amp;date=24.04.2025&amp;dst=20&amp;field=134&amp;demo=2" TargetMode = "External"/>
	<Relationship Id="rId21" Type="http://schemas.openxmlformats.org/officeDocument/2006/relationships/hyperlink" Target="https://login.consultant.ru/link/?req=doc&amp;base=LAW&amp;n=327416&amp;date=24.04.2025&amp;dst=100488&amp;field=134&amp;demo=2" TargetMode = "External"/>
	<Relationship Id="rId22" Type="http://schemas.openxmlformats.org/officeDocument/2006/relationships/hyperlink" Target="https://login.consultant.ru/link/?req=doc&amp;base=LAW&amp;n=489134&amp;date=24.04.2025&amp;dst=20&amp;field=134&amp;demo=2" TargetMode = "External"/>
	<Relationship Id="rId23" Type="http://schemas.openxmlformats.org/officeDocument/2006/relationships/hyperlink" Target="https://login.consultant.ru/link/?req=doc&amp;base=LAW&amp;n=371887&amp;date=24.04.2025&amp;dst=100020&amp;field=134&amp;demo=2" TargetMode = "External"/>
	<Relationship Id="rId24" Type="http://schemas.openxmlformats.org/officeDocument/2006/relationships/hyperlink" Target="https://login.consultant.ru/link/?req=doc&amp;base=LAW&amp;n=489149&amp;date=24.04.2025&amp;dst=100009&amp;field=134&amp;demo=2" TargetMode = "External"/>
	<Relationship Id="rId25" Type="http://schemas.openxmlformats.org/officeDocument/2006/relationships/hyperlink" Target="https://login.consultant.ru/link/?req=doc&amp;base=LAW&amp;n=489149&amp;date=24.04.2025&amp;dst=4&amp;field=134&amp;demo=2" TargetMode = "External"/>
	<Relationship Id="rId26" Type="http://schemas.openxmlformats.org/officeDocument/2006/relationships/hyperlink" Target="https://login.consultant.ru/link/?req=doc&amp;base=LAW&amp;n=489149&amp;date=24.04.2025&amp;dst=100038&amp;field=134&amp;demo=2" TargetMode = "External"/>
	<Relationship Id="rId27" Type="http://schemas.openxmlformats.org/officeDocument/2006/relationships/hyperlink" Target="https://login.consultant.ru/link/?req=doc&amp;base=LAW&amp;n=327416&amp;date=24.04.2025&amp;dst=100488&amp;field=134&amp;demo=2" TargetMode = "External"/>
	<Relationship Id="rId28" Type="http://schemas.openxmlformats.org/officeDocument/2006/relationships/hyperlink" Target="https://login.consultant.ru/link/?req=doc&amp;base=LAW&amp;n=489149&amp;date=24.04.2025&amp;dst=100038&amp;field=134&amp;demo=2" TargetMode = "External"/>
	<Relationship Id="rId29" Type="http://schemas.openxmlformats.org/officeDocument/2006/relationships/hyperlink" Target="https://login.consultant.ru/link/?req=doc&amp;base=LAW&amp;n=442209&amp;date=24.04.2025&amp;dst=100141&amp;field=134&amp;demo=2" TargetMode = "External"/>
	<Relationship Id="rId30" Type="http://schemas.openxmlformats.org/officeDocument/2006/relationships/hyperlink" Target="https://login.consultant.ru/link/?req=doc&amp;base=LAW&amp;n=489149&amp;date=24.04.2025&amp;dst=4&amp;field=134&amp;demo=2" TargetMode = "External"/>
	<Relationship Id="rId31" Type="http://schemas.openxmlformats.org/officeDocument/2006/relationships/hyperlink" Target="https://login.consultant.ru/link/?req=doc&amp;base=LAW&amp;n=327416&amp;date=24.04.2025&amp;dst=100488&amp;field=134&amp;demo=2" TargetMode = "External"/>
	<Relationship Id="rId32" Type="http://schemas.openxmlformats.org/officeDocument/2006/relationships/hyperlink" Target="https://login.consultant.ru/link/?req=doc&amp;base=LAW&amp;n=489149&amp;date=24.04.2025&amp;dst=4&amp;field=134&amp;demo=2" TargetMode = "External"/>
	<Relationship Id="rId33" Type="http://schemas.openxmlformats.org/officeDocument/2006/relationships/hyperlink" Target="https://login.consultant.ru/link/?req=doc&amp;base=LAW&amp;n=371887&amp;date=24.04.2025&amp;dst=100020&amp;field=134&amp;demo=2" TargetMode = "External"/>
	<Relationship Id="rId34" Type="http://schemas.openxmlformats.org/officeDocument/2006/relationships/hyperlink" Target="https://login.consultant.ru/link/?req=doc&amp;base=LAW&amp;n=489149&amp;date=24.04.2025&amp;dst=100058&amp;field=134&amp;demo=2" TargetMode = "External"/>
	<Relationship Id="rId35" Type="http://schemas.openxmlformats.org/officeDocument/2006/relationships/hyperlink" Target="https://login.consultant.ru/link/?req=doc&amp;base=LAW&amp;n=484228&amp;date=24.04.2025&amp;dst=100009&amp;field=134&amp;demo=2" TargetMode = "External"/>
	<Relationship Id="rId36" Type="http://schemas.openxmlformats.org/officeDocument/2006/relationships/hyperlink" Target="https://login.consultant.ru/link/?req=doc&amp;base=LAW&amp;n=484228&amp;date=24.04.2025&amp;dst=100018&amp;field=134&amp;demo=2" TargetMode = "External"/>
	<Relationship Id="rId37" Type="http://schemas.openxmlformats.org/officeDocument/2006/relationships/hyperlink" Target="https://login.consultant.ru/link/?req=doc&amp;base=LAW&amp;n=484228&amp;date=24.04.2025&amp;dst=100041&amp;field=134&amp;demo=2" TargetMode = "External"/>
	<Relationship Id="rId38" Type="http://schemas.openxmlformats.org/officeDocument/2006/relationships/hyperlink" Target="https://login.consultant.ru/link/?req=doc&amp;base=LAW&amp;n=442209&amp;date=24.04.2025&amp;dst=100141&amp;field=134&amp;demo=2" TargetMode = "External"/>
	<Relationship Id="rId39" Type="http://schemas.openxmlformats.org/officeDocument/2006/relationships/hyperlink" Target="https://login.consultant.ru/link/?req=doc&amp;base=LAW&amp;n=327416&amp;date=24.04.2025&amp;dst=100488&amp;field=134&amp;demo=2" TargetMode = "External"/>
	<Relationship Id="rId40" Type="http://schemas.openxmlformats.org/officeDocument/2006/relationships/hyperlink" Target="https://login.consultant.ru/link/?req=doc&amp;base=LAW&amp;n=484228&amp;date=24.04.2025&amp;dst=100018&amp;field=134&amp;demo=2" TargetMode = "External"/>
	<Relationship Id="rId41" Type="http://schemas.openxmlformats.org/officeDocument/2006/relationships/hyperlink" Target="https://login.consultant.ru/link/?req=doc&amp;base=LAW&amp;n=327416&amp;date=24.04.2025&amp;dst=100488&amp;field=134&amp;demo=2" TargetMode = "External"/>
	<Relationship Id="rId42" Type="http://schemas.openxmlformats.org/officeDocument/2006/relationships/hyperlink" Target="https://login.consultant.ru/link/?req=doc&amp;base=LAW&amp;n=484228&amp;date=24.04.2025&amp;dst=100018&amp;field=134&amp;demo=2" TargetMode = "External"/>
	<Relationship Id="rId43" Type="http://schemas.openxmlformats.org/officeDocument/2006/relationships/hyperlink" Target="https://login.consultant.ru/link/?req=doc&amp;base=LAW&amp;n=371887&amp;date=24.04.2025&amp;dst=100020&amp;field=134&amp;demo=2" TargetMode = "External"/>
	<Relationship Id="rId44" Type="http://schemas.openxmlformats.org/officeDocument/2006/relationships/hyperlink" Target="https://login.consultant.ru/link/?req=doc&amp;base=LAW&amp;n=484228&amp;date=24.04.2025&amp;dst=100042&amp;field=134&amp;demo=2" TargetMode = "External"/>
	<Relationship Id="rId45" Type="http://schemas.openxmlformats.org/officeDocument/2006/relationships/hyperlink" Target="https://login.consultant.ru/link/?req=doc&amp;base=LAW&amp;n=484228&amp;date=24.04.2025&amp;dst=10005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Росгвардии от 20.03.2025 N 104
"О внесении изменений в некоторые нормативные правовые акты Федеральной службы войск национальной гвардии Российской Федерации по вопросам назначения и осуществления единовременных выплат"
(Зарегистрировано в Минюсте России 22.04.2025 N 81933)</dc:title>
  <dcterms:created xsi:type="dcterms:W3CDTF">2025-04-24T13:46:06Z</dcterms:created>
</cp:coreProperties>
</file>