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27 февраля 2025 г. N 11351-АЕ/07</w:t>
      </w:r>
    </w:p>
    <w:p>
      <w:pPr>
        <w:pStyle w:val="0"/>
        <w:jc w:val="both"/>
      </w:pPr>
      <w:r>
        <w:rPr>
          <w:sz w:val="24"/>
        </w:rPr>
      </w:r>
    </w:p>
    <w:p>
      <w:pPr>
        <w:pStyle w:val="0"/>
        <w:ind w:firstLine="540"/>
        <w:jc w:val="both"/>
      </w:pPr>
      <w:r>
        <w:rPr>
          <w:sz w:val="24"/>
        </w:rPr>
        <w:t xml:space="preserve">Министерство строительства и жилищно-коммунального хозяйства Российской Федерации в соответствии с письмом по вопросу возможности размещения в одном здании одновременно жилых помещений, относящихся к жилым помещениям в наемном доме социального использования и к жилым помещениям в наемном доме коммерческого использования, в пределах компетенции сообщает.</w:t>
      </w:r>
    </w:p>
    <w:p>
      <w:pPr>
        <w:pStyle w:val="0"/>
        <w:spacing w:before="240" w:line-rule="auto"/>
        <w:ind w:firstLine="540"/>
        <w:jc w:val="both"/>
      </w:pPr>
      <w:r>
        <w:rPr>
          <w:sz w:val="24"/>
        </w:rPr>
        <w:t xml:space="preserve">Согласно </w:t>
      </w:r>
      <w:hyperlink w:history="0" r:id="rId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 91.16</w:t>
        </w:r>
      </w:hyperlink>
      <w:r>
        <w:rPr>
          <w:sz w:val="24"/>
        </w:rPr>
        <w:t xml:space="preserve"> Жилищного кодекса Российской Федерации (далее - Жилищный кодекс)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history="0" r:id="rId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частями 2</w:t>
        </w:r>
      </w:hyperlink>
      <w:r>
        <w:rPr>
          <w:sz w:val="24"/>
        </w:rPr>
        <w:t xml:space="preserve"> - </w:t>
      </w:r>
      <w:hyperlink w:history="0" r:id="rId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4 статьи 91.16</w:t>
        </w:r>
      </w:hyperlink>
      <w:r>
        <w:rPr>
          <w:sz w:val="24"/>
        </w:rPr>
        <w:t xml:space="preserve"> Жилищного кодекса.</w:t>
      </w:r>
    </w:p>
    <w:p>
      <w:pPr>
        <w:pStyle w:val="0"/>
        <w:spacing w:before="240" w:line-rule="auto"/>
        <w:ind w:firstLine="540"/>
        <w:jc w:val="both"/>
      </w:pPr>
      <w:r>
        <w:rPr>
          <w:sz w:val="24"/>
        </w:rPr>
        <w:t xml:space="preserve">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pPr>
        <w:pStyle w:val="0"/>
        <w:spacing w:before="240" w:line-rule="auto"/>
        <w:ind w:firstLine="540"/>
        <w:jc w:val="both"/>
      </w:pPr>
      <w:r>
        <w:rPr>
          <w:sz w:val="24"/>
        </w:rPr>
        <w:t xml:space="preserve">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p>
      <w:pPr>
        <w:pStyle w:val="0"/>
        <w:spacing w:before="240" w:line-rule="auto"/>
        <w:ind w:firstLine="540"/>
        <w:jc w:val="both"/>
      </w:pPr>
      <w:r>
        <w:rPr>
          <w:sz w:val="24"/>
        </w:rPr>
        <w:t xml:space="preserve">Таким образом, жилые помещения в наемном доме социального использования или жилые помещения в наемном доме коммерческого использования должны располагаться только в отдельном здании, относящемся к наемному дому с учетом положений </w:t>
      </w:r>
      <w:hyperlink w:history="0" r:id="rId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91.16</w:t>
        </w:r>
      </w:hyperlink>
      <w:r>
        <w:rPr>
          <w:sz w:val="24"/>
        </w:rPr>
        <w:t xml:space="preserve"> Жилищного кодекса. Размещение в многоквартирном доме, не относящемся к наемному дому, таких помещений не допускается.</w:t>
      </w:r>
    </w:p>
    <w:p>
      <w:pPr>
        <w:pStyle w:val="0"/>
        <w:spacing w:before="240" w:line-rule="auto"/>
        <w:ind w:firstLine="540"/>
        <w:jc w:val="both"/>
      </w:pPr>
      <w:r>
        <w:rPr>
          <w:sz w:val="24"/>
        </w:rPr>
        <w:t xml:space="preserve">При этом в соответствии с </w:t>
      </w:r>
      <w:hyperlink w:history="0" r:id="rId1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91.17</w:t>
        </w:r>
      </w:hyperlink>
      <w:r>
        <w:rPr>
          <w:sz w:val="24"/>
        </w:rPr>
        <w:t xml:space="preserve"> Жилищного кодекса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history="0" r:id="rId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91.17</w:t>
        </w:r>
      </w:hyperlink>
      <w:r>
        <w:rPr>
          <w:sz w:val="24"/>
        </w:rPr>
        <w:t xml:space="preserve"> Жилищного кодекса.</w:t>
      </w:r>
    </w:p>
    <w:p>
      <w:pPr>
        <w:pStyle w:val="0"/>
        <w:spacing w:before="240" w:line-rule="auto"/>
        <w:ind w:firstLine="540"/>
        <w:jc w:val="both"/>
      </w:pPr>
      <w:r>
        <w:rPr>
          <w:sz w:val="24"/>
        </w:rPr>
        <w:t xml:space="preserve">Согласно </w:t>
      </w:r>
      <w:hyperlink w:history="0" r:id="rId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91.17</w:t>
        </w:r>
      </w:hyperlink>
      <w:r>
        <w:rPr>
          <w:sz w:val="24"/>
        </w:rPr>
        <w:t xml:space="preserve"> Жилищного кодекса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history="0" r:id="rId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4 части 5</w:t>
        </w:r>
      </w:hyperlink>
      <w:r>
        <w:rPr>
          <w:sz w:val="24"/>
        </w:rPr>
        <w:t xml:space="preserve"> и </w:t>
      </w:r>
      <w:hyperlink w:history="0" r:id="rId1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6 статьи 91.19</w:t>
        </w:r>
      </w:hyperlink>
      <w:r>
        <w:rPr>
          <w:sz w:val="24"/>
        </w:rPr>
        <w:t xml:space="preserve"> Жилищного кодекса, если иное не установлено Федеральным </w:t>
      </w:r>
      <w:hyperlink w:history="0" r:id="rId15" w:tooltip="Федеральный закон от 16.07.1998 N 102-ФЗ (ред. от 12.06.2024) &quot;Об ипотеке (залоге недвижимости)&quot; {КонсультантПлюс}">
        <w:r>
          <w:rPr>
            <w:sz w:val="24"/>
            <w:color w:val="0000ff"/>
          </w:rPr>
          <w:t xml:space="preserve">законом</w:t>
        </w:r>
      </w:hyperlink>
      <w:r>
        <w:rPr>
          <w:sz w:val="24"/>
        </w:rPr>
        <w:t xml:space="preserve"> от 16 июля 1998 г. N 102-ФЗ "Об ипотеке (залоге недвижимости)".</w:t>
      </w:r>
    </w:p>
    <w:p>
      <w:pPr>
        <w:pStyle w:val="0"/>
        <w:spacing w:before="240" w:line-rule="auto"/>
        <w:ind w:firstLine="540"/>
        <w:jc w:val="both"/>
      </w:pPr>
      <w:r>
        <w:rPr>
          <w:sz w:val="24"/>
        </w:rPr>
        <w:t xml:space="preserve">В этой связи с учетом норм Жилищного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кодекса</w:t>
        </w:r>
      </w:hyperlink>
      <w:r>
        <w:rPr>
          <w:sz w:val="24"/>
        </w:rPr>
        <w:t xml:space="preserve"> полагаем необходимым отметить, что жилые помещения в наемном доме социального использования и жилые помещения в наемном доме коммерческого использования не могут располагаться в одном здании.</w:t>
      </w:r>
    </w:p>
    <w:p>
      <w:pPr>
        <w:pStyle w:val="0"/>
        <w:spacing w:before="240" w:line-rule="auto"/>
        <w:ind w:firstLine="540"/>
        <w:jc w:val="both"/>
      </w:pPr>
      <w:r>
        <w:rPr>
          <w:sz w:val="24"/>
        </w:rPr>
        <w:t xml:space="preserve">Дополнительно сообщаем, что в соответствии с </w:t>
      </w:r>
      <w:hyperlink w:history="0" r:id="rId17"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 В связи с этим следует учитывать, что письма Минстроя России и его структурных подразделений, в которых разъясняются вопросы применения нормативно-правовых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А.В.ЕРЕСЬКО</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27.02.2025 N 11351-АЕ/07</w:t>
            <w:br/>
            <w:t>&lt;По вопросу возможности размещения в одном здании одновременно жилы...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27.02.2025 N 11351-АЕ/07 &lt;По вопросу возможности размещения в одном здании одновременно жилы...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93210&amp;date=29.04.2025&amp;dst=101370&amp;field=134&amp;demo=2" TargetMode = "External"/>
	<Relationship Id="rId7" Type="http://schemas.openxmlformats.org/officeDocument/2006/relationships/hyperlink" Target="https://login.consultant.ru/link/?req=doc&amp;base=LAW&amp;n=493210&amp;date=29.04.2025&amp;dst=101372&amp;field=134&amp;demo=2" TargetMode = "External"/>
	<Relationship Id="rId8" Type="http://schemas.openxmlformats.org/officeDocument/2006/relationships/hyperlink" Target="https://login.consultant.ru/link/?req=doc&amp;base=LAW&amp;n=493210&amp;date=29.04.2025&amp;dst=101374&amp;field=134&amp;demo=2" TargetMode = "External"/>
	<Relationship Id="rId9" Type="http://schemas.openxmlformats.org/officeDocument/2006/relationships/hyperlink" Target="https://login.consultant.ru/link/?req=doc&amp;base=LAW&amp;n=493210&amp;date=29.04.2025&amp;dst=101370&amp;field=134&amp;demo=2" TargetMode = "External"/>
	<Relationship Id="rId10" Type="http://schemas.openxmlformats.org/officeDocument/2006/relationships/hyperlink" Target="https://login.consultant.ru/link/?req=doc&amp;base=LAW&amp;n=493210&amp;date=29.04.2025&amp;dst=101378&amp;field=134&amp;demo=2" TargetMode = "External"/>
	<Relationship Id="rId11" Type="http://schemas.openxmlformats.org/officeDocument/2006/relationships/hyperlink" Target="https://login.consultant.ru/link/?req=doc&amp;base=LAW&amp;n=493210&amp;date=29.04.2025&amp;dst=101385&amp;field=134&amp;demo=2" TargetMode = "External"/>
	<Relationship Id="rId12" Type="http://schemas.openxmlformats.org/officeDocument/2006/relationships/hyperlink" Target="https://login.consultant.ru/link/?req=doc&amp;base=LAW&amp;n=493210&amp;date=29.04.2025&amp;dst=101385&amp;field=134&amp;demo=2" TargetMode = "External"/>
	<Relationship Id="rId13" Type="http://schemas.openxmlformats.org/officeDocument/2006/relationships/hyperlink" Target="https://login.consultant.ru/link/?req=doc&amp;base=LAW&amp;n=493210&amp;date=29.04.2025&amp;dst=101405&amp;field=134&amp;demo=2" TargetMode = "External"/>
	<Relationship Id="rId14" Type="http://schemas.openxmlformats.org/officeDocument/2006/relationships/hyperlink" Target="https://login.consultant.ru/link/?req=doc&amp;base=LAW&amp;n=493210&amp;date=29.04.2025&amp;dst=101407&amp;field=134&amp;demo=2" TargetMode = "External"/>
	<Relationship Id="rId15" Type="http://schemas.openxmlformats.org/officeDocument/2006/relationships/hyperlink" Target="https://login.consultant.ru/link/?req=doc&amp;base=LAW&amp;n=478635&amp;date=29.04.2025&amp;demo=2" TargetMode = "External"/>
	<Relationship Id="rId16" Type="http://schemas.openxmlformats.org/officeDocument/2006/relationships/hyperlink" Target="https://login.consultant.ru/link/?req=doc&amp;base=LAW&amp;n=493210&amp;date=29.04.2025&amp;demo=2" TargetMode = "External"/>
	<Relationship Id="rId17" Type="http://schemas.openxmlformats.org/officeDocument/2006/relationships/hyperlink" Target="https://login.consultant.ru/link/?req=doc&amp;base=LAW&amp;n=490536&amp;date=29.04.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27.02.2025 N 11351-АЕ/07
&lt;По вопросу возможности размещения в одном здании одновременно жилых помещений, относящихся к жилым помещениям в наемном доме социального использования и к жилым помещениям в наемном доме коммерческого использования&gt;</dc:title>
  <dcterms:created xsi:type="dcterms:W3CDTF">2025-04-29T08:45:07Z</dcterms:created>
</cp:coreProperties>
</file>