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решением Совета ФПА РФ</w:t>
      </w:r>
    </w:p>
    <w:p>
      <w:pPr>
        <w:pStyle w:val="0"/>
        <w:jc w:val="right"/>
      </w:pPr>
      <w:r>
        <w:rPr>
          <w:sz w:val="24"/>
        </w:rPr>
        <w:t xml:space="preserve">от 17 апреля 2025 г., протокол N 24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РАЗЪЯСНЕНИЕ</w:t>
      </w:r>
    </w:p>
    <w:p>
      <w:pPr>
        <w:pStyle w:val="2"/>
        <w:jc w:val="center"/>
      </w:pPr>
      <w:r>
        <w:rPr>
          <w:sz w:val="24"/>
        </w:rPr>
        <w:t xml:space="preserve">СОВЕТА ФЕДЕРАЛЬНОЙ ПАЛАТЫ АДВОКАТОВ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ВОПРОСУ ОФОРМЛЕНИЯ НАЛИЧНЫХ ДЕНЕЖНЫХ РАСЧЕТОВ АДВОКАТАМИ,</w:t>
      </w:r>
    </w:p>
    <w:p>
      <w:pPr>
        <w:pStyle w:val="2"/>
        <w:jc w:val="center"/>
      </w:pPr>
      <w:r>
        <w:rPr>
          <w:sz w:val="24"/>
        </w:rPr>
        <w:t xml:space="preserve">ОСУЩЕСТВЛЯЮЩИМИ АДВОКАТСКУЮ ДЕЯТЕЛЬНОСТЬ</w:t>
      </w:r>
    </w:p>
    <w:p>
      <w:pPr>
        <w:pStyle w:val="2"/>
        <w:jc w:val="center"/>
      </w:pPr>
      <w:r>
        <w:rPr>
          <w:sz w:val="24"/>
        </w:rPr>
        <w:t xml:space="preserve">В АДВОКАТСКИХ КАБИНЕТАХ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поступающими запросами от адвокатских палат субъектов Российской Федерации, а также от адвокатов, осуществляющих адвокатскую деятельность в адвокатских кабинетах, в том числе со ссылкой на </w:t>
      </w:r>
      <w:hyperlink w:history="0" r:id="rId6" w:tooltip="Вопрос: О применении ККТ, ведении кассовой книги, оформлении первичных кассовых документов и уплате НДФЛ адвокатом, осуществляющим адвокатскую деятельность индивидуально. (Письмо ФНС России от 16.10.2024 N ЕД-16-20/295@)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Федеральной налоговой службы (ФНС России) от 16 октября 2024 года N ЕД-16-20/295@, Совет Федеральной палаты адвокатов Российской Федерации (ФПА РФ)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Достоверное и своевременное документирование операций по принятию денежных средств, предоставление доверителю финансовых документов в подтверждение выплаты вознаграждения за оказываемую юридическую помощь является необходимым условием, обеспечивающим доверие к адвокату и адвокатуре, учет вознаграждения за оказываемую юридическую помощь и других денежных средств, поступающих от доверителя, реализацию права доверителя на компенсацию судебных издержек.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1.05.2002 N 63-ФЗ (ред. от 22.04.2024) &quot;Об адвокатской деятельности и адвокатуре в Российской Федерации&quot; (с изм. и доп., вступ. в силу с 20.10.2024) {КонсультантПлюс}">
        <w:r>
          <w:rPr>
            <w:sz w:val="24"/>
            <w:color w:val="0000ff"/>
          </w:rPr>
          <w:t xml:space="preserve">пунктом 6 статьи 25</w:t>
        </w:r>
      </w:hyperlink>
      <w:r>
        <w:rPr>
          <w:sz w:val="24"/>
        </w:rPr>
        <w:t xml:space="preserve"> Федерального закона от 31 мая 2002 года N 63-ФЗ "Об адвокатской деятельности и адвокатуре в Российской Федерации" вознаграждение, выплачиваемое адвокату доверителем, и (или) компенсация адвокату расходов, связанных с исполнением поручения, подлежат обязательному внесению в кассу соответствующего адвокатского образования либо перечислению на расчетный счет адвокатского образования в порядке и сроки, которые предусмотрены соглашением.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Адвокатский кабинет является одной из форм адвокатских образований, в связи с чем на адвокатов, осуществляющих профессиональную деятельность в адвокатских кабинетах, распространяется требование об обязательном внесении вознаграждения и компенсации расходов, связанных с исполнением поручения, в кассу адвокатского кабинета.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пунктом 1 статьи 34.2</w:t>
        </w:r>
      </w:hyperlink>
      <w:r>
        <w:rPr>
          <w:sz w:val="24"/>
        </w:rPr>
        <w:t xml:space="preserve"> Налогового кодекса Российской Федерации (далее - НК РФ) Министерство финансов Российской Федерации (Минфин России) дает письменные разъяснения налоговым органам, налогоплательщикам, ответственному участнику консолидированной группы налогоплательщиков, плательщикам сборов, плательщикам страховых взносов и налоговым агентам по вопросам применения законодательства Российской Федерации о налогах и сборах.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9" w:tooltip="Вопрос: Об оформлении документов, приравненных к кассовым чекам, предназначенных для осуществления наличных денежных расчетов и (или) расчетов с использованием платежных карт без применения ККТ при оказании услуг населению. (Письмо Минфина России от 19.12.2014 N 03-01-15/65989) {КонсультантПлюс}">
        <w:r>
          <w:rPr>
            <w:sz w:val="24"/>
            <w:color w:val="0000ff"/>
          </w:rPr>
          <w:t xml:space="preserve">Письма</w:t>
        </w:r>
      </w:hyperlink>
      <w:r>
        <w:rPr>
          <w:sz w:val="24"/>
        </w:rPr>
        <w:t xml:space="preserve"> Минфина России от 19 декабря 2014 года N 03-01-15/65989 следует, что кассовые операции в части обязательного внесения в кассу адвокатского образования вознаграждения, выплачиваемого адвокату доверителем, и (или) компенсации адвокату расходов, связанных с исполнением поручения, должны оформляться в соответствии с </w:t>
      </w:r>
      <w:hyperlink w:history="0" r:id="rId10" w:tooltip="Указание Банка России от 11.03.2014 N 3210-У (ред. от 09.01.2024) &quot;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&quot; (Зарегистрировано в Минюсте России 23.05.2014 N 32404) {КонсультантПлюс}">
        <w:r>
          <w:rPr>
            <w:sz w:val="24"/>
            <w:color w:val="0000ff"/>
          </w:rPr>
          <w:t xml:space="preserve">Указаниями</w:t>
        </w:r>
      </w:hyperlink>
      <w:r>
        <w:rPr>
          <w:sz w:val="24"/>
        </w:rPr>
        <w:t xml:space="preserve"> о порядке ведения кассовых операций с юридическими лицами и упрощенном порядке ведения кассовых операций индивидуальными предпринимателями и субъектами малого предпринимательства, утвержденными Центральным банком Российской Федерации 11 марта 2014 года N 3210-У (далее - Указания).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Указание Банка России от 11.03.2014 N 3210-У (ред. от 09.01.2024) &quot;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&quot; (Зарегистрировано в Минюсте России 23.05.2014 N 32404)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Указаний прием наличных денег проводится по приходным кассовым ордерам (КО-1), </w:t>
      </w:r>
      <w:hyperlink w:history="0" r:id="rId12" w:tooltip="Постановление Госкомстата РФ от 18.08.1998 N 88 (ред. от 03.05.2000) &quot;Об утверждении унифицированных форм первичной учетной документации по учету кассовых операций, по учету результатов инвентаризации&quot;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которых утверждена Постановлением Госкомстата России от 18 августа 1998 года N 88.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Содержание решения Совета ФПА РФ от 19 января 2007 года соответствует указанному нормативному регулированию порядка приема денежных средств в кассу адвокатского образования, поскольку содержит разъяснения об обязательности оформления приходных кассовых ордеров по </w:t>
      </w:r>
      <w:hyperlink w:history="0" r:id="rId13" w:tooltip="Постановление Госкомстата РФ от 18.08.1998 N 88 (ред. от 03.05.2000) &quot;Об утверждении унифицированных форм первичной учетной документации по учету кассовых операций, по учету результатов инвентаризации&quot; {КонсультантПлюс}">
        <w:r>
          <w:rPr>
            <w:sz w:val="24"/>
            <w:color w:val="0000ff"/>
          </w:rPr>
          <w:t xml:space="preserve">форме КО-1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Разъяснение в указанном решении возможности использования адвокатскими образованиями дополнительной внутренней формы первичной учетной документации, в том числе </w:t>
      </w:r>
      <w:hyperlink w:history="0" r:id="rId14" w:tooltip="Постановление Госкомстата РФ от 18.08.1998 N 88 (ред. от 03.05.2000) &quot;Об утверждении унифицированных форм первичной учетной документации по учету кассовых операций, по учету результатов инвентаризации&quot; {КонсультантПлюс}">
        <w:r>
          <w:rPr>
            <w:sz w:val="24"/>
            <w:color w:val="0000ff"/>
          </w:rPr>
          <w:t xml:space="preserve">формы</w:t>
        </w:r>
      </w:hyperlink>
      <w:r>
        <w:rPr>
          <w:sz w:val="24"/>
        </w:rPr>
        <w:t xml:space="preserve">, рекомендованной ФПА РФ, имеет факультативный характер, действующему законодательству не противоречит. В соответствии с </w:t>
      </w:r>
      <w:hyperlink w:history="0" r:id="rId15" w:tooltip="Федеральный закон от 06.12.2011 N 402-ФЗ (ред. от 12.12.2023) &quot;О бухгалтерском учете&quot; {КонсультантПлюс}">
        <w:r>
          <w:rPr>
            <w:sz w:val="24"/>
            <w:color w:val="0000ff"/>
          </w:rPr>
          <w:t xml:space="preserve">пунктом 4 статьи 9</w:t>
        </w:r>
      </w:hyperlink>
      <w:r>
        <w:rPr>
          <w:sz w:val="24"/>
        </w:rPr>
        <w:t xml:space="preserve"> Федерального закона от 6 декабря 2011 года N 402-ФЗ "О бухгалтерском учете" формы первичных учетных документов определяет руководитель экономического субъекта по представлению должностного лица, на которое возложено ведение бухгалтерского учета.</w:t>
      </w:r>
    </w:p>
    <w:p>
      <w:pPr>
        <w:pStyle w:val="0"/>
        <w:spacing w:before="240" w:line-rule="auto"/>
        <w:ind w:firstLine="540"/>
        <w:jc w:val="both"/>
      </w:pPr>
      <w:hyperlink w:history="0" r:id="rId16" w:tooltip="Вопрос: О применении ККТ, ведении кассовой книги, оформлении первичных кассовых документов и уплате НДФЛ адвокатом, осуществляющим адвокатскую деятельность индивидуально. (Письмо ФНС России от 16.10.2024 N ЕД-16-20/295@)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ФНС России от 16 октября 2024 года N ЕД-16-20/295@, содержащее информацию о том, что адвокаты, осуществляющие профессиональную деятельность в адвокатских кабинетах, могут не оформлять первичные кассовые документы, является по своему содержанию и в соответствии с компетенцией налоговых органов информированием по вопросам, относящимся исключительно к налогообложению, и не является нормативным актом либо письменным разъяснением финансового органа. В соответствии с </w:t>
      </w:r>
      <w:hyperlink w:history="0" r:id="rId1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подпунктом 4 пункта 1 статьи 32</w:t>
        </w:r>
      </w:hyperlink>
      <w:r>
        <w:rPr>
          <w:sz w:val="24"/>
        </w:rPr>
        <w:t xml:space="preserve"> НК РФ обязанностью налоговых органов является информирование налогоплательщиков по вопросам исчисления и уплаты налогов и сборов, о правах и обязанностях налогоплательщиков.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Совет ФПА РФ разъясняет, что соблюдение порядка внесения денежных средств в кассу адвокатского образования (включая адвокатские кабинеты) является необходимым условием формирования документов, которые могут быть использованы в качестве доказательств, подтверждающих факт оплаты вознаграждения по соглашению об оказании юридической помощи, в судебных спорах, в том числе при разрешении вопросов о возмещении расходов на оплату услуг представителя. На вопросы доказывания факта несения судебных издержек и связи между понесенными издержками и рассматриваемым делом обращено внимание в кассационном </w:t>
      </w:r>
      <w:hyperlink w:history="0" r:id="rId18" w:tooltip="Кассационное определение Верховного Суда РФ от 19.01.2023 N 16-КАД22-20-К4 Обстоятельства: Определением удовлетворено заявление о взыскании судебных расходов на оплату юридических услуг. Решение: Дело направлено на новое рассмотрение, поскольку факт несения расходов на оплату услуг представителя административным истцом не доказан, представленная им квитанция несение судебных расходов не подтверждает. Соглашение между истцом и адвокатом, а также первичные документы судом не исследованы. {КонсультантПлюс}">
        <w:r>
          <w:rPr>
            <w:sz w:val="24"/>
            <w:color w:val="0000ff"/>
          </w:rPr>
          <w:t xml:space="preserve">определении</w:t>
        </w:r>
      </w:hyperlink>
      <w:r>
        <w:rPr>
          <w:sz w:val="24"/>
        </w:rPr>
        <w:t xml:space="preserve"> Верховного Суда Российской Федерации от 19 января 2023 года N 16-КАД22-20-К4.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учетом изложенного в каждом адвокатском образовании, включая адвокатские кабинеты, должно осуществляться оформление приходных кассовых документов.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"Разъяснение Совета Федеральной палаты адвокатов Российской Федерации по вопросу оформления наличных денежных расчетов 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"Разъяснение Совета Федеральной палаты адвокатов Российской Федерации по вопросу оформления наличных денежных расчетов 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QUEST&amp;n=226457&amp;date=29.04.2025&amp;dst=100005&amp;field=134&amp;demo=2" TargetMode = "External"/>
	<Relationship Id="rId7" Type="http://schemas.openxmlformats.org/officeDocument/2006/relationships/hyperlink" Target="https://login.consultant.ru/link/?req=doc&amp;base=LAW&amp;n=475266&amp;date=29.04.2025&amp;dst=100259&amp;field=134&amp;demo=2" TargetMode = "External"/>
	<Relationship Id="rId8" Type="http://schemas.openxmlformats.org/officeDocument/2006/relationships/hyperlink" Target="https://login.consultant.ru/link/?req=doc&amp;base=LAW&amp;n=483130&amp;date=29.04.2025&amp;dst=3880&amp;field=134&amp;demo=2" TargetMode = "External"/>
	<Relationship Id="rId9" Type="http://schemas.openxmlformats.org/officeDocument/2006/relationships/hyperlink" Target="https://login.consultant.ru/link/?req=doc&amp;base=QUEST&amp;n=142174&amp;date=29.04.2025&amp;dst=100004&amp;field=134&amp;demo=2" TargetMode = "External"/>
	<Relationship Id="rId10" Type="http://schemas.openxmlformats.org/officeDocument/2006/relationships/hyperlink" Target="https://login.consultant.ru/link/?req=doc&amp;base=LAW&amp;n=473304&amp;date=29.04.2025&amp;demo=2" TargetMode = "External"/>
	<Relationship Id="rId11" Type="http://schemas.openxmlformats.org/officeDocument/2006/relationships/hyperlink" Target="https://login.consultant.ru/link/?req=doc&amp;base=LAW&amp;n=473304&amp;date=29.04.2025&amp;dst=100049&amp;field=134&amp;demo=2" TargetMode = "External"/>
	<Relationship Id="rId12" Type="http://schemas.openxmlformats.org/officeDocument/2006/relationships/hyperlink" Target="https://login.consultant.ru/link/?req=doc&amp;base=LAW&amp;n=27261&amp;date=29.04.2025&amp;dst=100091&amp;field=134&amp;demo=2" TargetMode = "External"/>
	<Relationship Id="rId13" Type="http://schemas.openxmlformats.org/officeDocument/2006/relationships/hyperlink" Target="https://login.consultant.ru/link/?req=doc&amp;base=LAW&amp;n=27261&amp;date=29.04.2025&amp;dst=100091&amp;field=134&amp;demo=2" TargetMode = "External"/>
	<Relationship Id="rId14" Type="http://schemas.openxmlformats.org/officeDocument/2006/relationships/hyperlink" Target="https://login.consultant.ru/link/?req=doc&amp;base=LAW&amp;n=27261&amp;date=29.04.2025&amp;dst=100091&amp;field=134&amp;demo=2" TargetMode = "External"/>
	<Relationship Id="rId15" Type="http://schemas.openxmlformats.org/officeDocument/2006/relationships/hyperlink" Target="https://login.consultant.ru/link/?req=doc&amp;base=LAW&amp;n=464181&amp;date=29.04.2025&amp;dst=61&amp;field=134&amp;demo=2" TargetMode = "External"/>
	<Relationship Id="rId16" Type="http://schemas.openxmlformats.org/officeDocument/2006/relationships/hyperlink" Target="https://login.consultant.ru/link/?req=doc&amp;base=QUEST&amp;n=226457&amp;date=29.04.2025&amp;dst=100005&amp;field=134&amp;demo=2" TargetMode = "External"/>
	<Relationship Id="rId17" Type="http://schemas.openxmlformats.org/officeDocument/2006/relationships/hyperlink" Target="https://login.consultant.ru/link/?req=doc&amp;base=LAW&amp;n=483130&amp;date=29.04.2025&amp;dst=293&amp;field=134&amp;demo=2" TargetMode = "External"/>
	<Relationship Id="rId18" Type="http://schemas.openxmlformats.org/officeDocument/2006/relationships/hyperlink" Target="https://login.consultant.ru/link/?req=doc&amp;base=ARB&amp;n=746275&amp;date=29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"Разъяснение Совета Федеральной палаты адвокатов Российской Федерации по вопросу оформления наличных денежных расчетов адвокатами, осуществляющими адвокатскую деятельность в адвокатских кабинетах"
(утв. решением Совета Федеральной палаты адвокатов от 17.04.2025, протокол N 24)</dc:title>
  <dcterms:created xsi:type="dcterms:W3CDTF">2025-04-29T13:47:12Z</dcterms:created>
</cp:coreProperties>
</file>