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28 апреля 2025 г. N 24963-ДН/04</w:t>
      </w:r>
    </w:p>
    <w:p>
      <w:pPr>
        <w:pStyle w:val="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рамках своей компетенции сообщает следующее.</w:t>
      </w:r>
    </w:p>
    <w:p>
      <w:pPr>
        <w:pStyle w:val="0"/>
        <w:spacing w:before="240" w:line-rule="auto"/>
        <w:ind w:firstLine="540"/>
        <w:jc w:val="both"/>
      </w:pPr>
      <w:r>
        <w:rPr>
          <w:sz w:val="24"/>
        </w:rPr>
        <w:t xml:space="preserve">В соответствии с </w:t>
      </w:r>
      <w:hyperlink w:history="0" r:id="rId6"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42</w:t>
        </w:r>
      </w:hyperlink>
      <w:r>
        <w:rPr>
          <w:sz w:val="24"/>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N 354),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history="0" r:id="rId7"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формулой 1</w:t>
        </w:r>
      </w:hyperlink>
      <w:r>
        <w:rPr>
          <w:sz w:val="24"/>
        </w:rPr>
        <w:t xml:space="preserve"> приложения N 2 к Правилам N 354 исходя из показаний такого прибора учета за расчетный период.</w:t>
      </w:r>
    </w:p>
    <w:p>
      <w:pPr>
        <w:pStyle w:val="0"/>
        <w:spacing w:before="240" w:line-rule="auto"/>
        <w:ind w:firstLine="540"/>
        <w:jc w:val="both"/>
      </w:pPr>
      <w:hyperlink w:history="0" r:id="rId8"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1</w:t>
        </w:r>
      </w:hyperlink>
      <w:r>
        <w:rPr>
          <w:sz w:val="24"/>
        </w:rPr>
        <w:t xml:space="preserve"> приложения N 2 к Правилам N 354 установлено, что размер платы за коммунальную услугу по горячему водоснабжению (за исключением случая установления двухкомпонентных тарифов на горячую воду (горячее водоснабжение), в i-м жилом или нежилом помещении, оборудованном индивидуальным или общим (квартирным) прибором учета горячей воды, согласно </w:t>
      </w:r>
      <w:hyperlink w:history="0" r:id="rId9"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пунктам 42</w:t>
        </w:r>
      </w:hyperlink>
      <w:r>
        <w:rPr>
          <w:sz w:val="24"/>
        </w:rPr>
        <w:t xml:space="preserve"> и </w:t>
      </w:r>
      <w:hyperlink w:history="0" r:id="rId10"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43</w:t>
        </w:r>
      </w:hyperlink>
      <w:r>
        <w:rPr>
          <w:sz w:val="24"/>
        </w:rPr>
        <w:t xml:space="preserve"> Правил N 354, определяется по формуле 1:</w:t>
      </w:r>
    </w:p>
    <w:p>
      <w:pPr>
        <w:pStyle w:val="0"/>
        <w:jc w:val="both"/>
      </w:pPr>
      <w:r>
        <w:rPr>
          <w:sz w:val="24"/>
        </w:rPr>
      </w:r>
    </w:p>
    <w:p>
      <w:pPr>
        <w:pStyle w:val="0"/>
        <w:jc w:val="center"/>
      </w:pPr>
      <w:r>
        <w:rPr>
          <w:position w:val="-10"/>
        </w:rPr>
        <w:drawing>
          <wp:inline distT="0" distB="0" distL="0" distR="0">
            <wp:extent cx="91440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285750"/>
                    </a:xfrm>
                    <a:prstGeom prst="rect">
                      <a:avLst/>
                    </a:prstGeom>
                    <a:noFill/>
                    <a:ln>
                      <a:noFill/>
                    </a:ln>
                  </pic:spPr>
                </pic:pic>
              </a:graphicData>
            </a:graphic>
          </wp:inline>
        </w:drawing>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position w:val="-10"/>
        </w:rPr>
        <w:drawing>
          <wp:inline distT="0" distB="0" distL="0" distR="0">
            <wp:extent cx="26289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62890" cy="285750"/>
                    </a:xfrm>
                    <a:prstGeom prst="rect">
                      <a:avLst/>
                    </a:prstGeom>
                    <a:noFill/>
                    <a:ln>
                      <a:noFill/>
                    </a:ln>
                  </pic:spPr>
                </pic:pic>
              </a:graphicData>
            </a:graphic>
          </wp:inline>
        </w:drawing>
      </w:r>
      <w:r>
        <w:rPr>
          <w:sz w:val="24"/>
        </w:rPr>
        <w:t xml:space="preserve"> -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history="0" r:id="rId13"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59</w:t>
        </w:r>
      </w:hyperlink>
      <w:r>
        <w:rPr>
          <w:sz w:val="24"/>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пункта;</w:t>
      </w:r>
    </w:p>
    <w:p>
      <w:pPr>
        <w:pStyle w:val="0"/>
        <w:spacing w:before="240" w:line-rule="auto"/>
        <w:ind w:firstLine="540"/>
        <w:jc w:val="both"/>
      </w:pPr>
      <w:r>
        <w:rPr>
          <w:sz w:val="24"/>
        </w:rPr>
        <w:t xml:space="preserve">T</w:t>
      </w:r>
      <w:r>
        <w:rPr>
          <w:sz w:val="24"/>
          <w:vertAlign w:val="superscript"/>
        </w:rPr>
        <w:t xml:space="preserve">кр</w:t>
      </w:r>
      <w:r>
        <w:rPr>
          <w:sz w:val="24"/>
        </w:rPr>
        <w:t xml:space="preserve"> - тариф (цена) на коммунальный ресурс, установленный в соответствии с законодательством Российской Федерации.</w:t>
      </w:r>
    </w:p>
    <w:p>
      <w:pPr>
        <w:pStyle w:val="0"/>
        <w:spacing w:before="240" w:line-rule="auto"/>
        <w:ind w:firstLine="540"/>
        <w:jc w:val="both"/>
      </w:pPr>
      <w:r>
        <w:rPr>
          <w:sz w:val="24"/>
        </w:rPr>
        <w:t xml:space="preserve">Согласно </w:t>
      </w:r>
      <w:hyperlink w:history="0" r:id="rId14"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подпункту "а" пункта 1</w:t>
        </w:r>
      </w:hyperlink>
      <w:r>
        <w:rPr>
          <w:sz w:val="24"/>
        </w:rPr>
        <w:t xml:space="preserve"> примечаний к приложению N 2 к Правилам N 354 при расчете размера платы за коммунальные услуги объем горячей воды измеряется в кубических метрах.</w:t>
      </w:r>
    </w:p>
    <w:p>
      <w:pPr>
        <w:pStyle w:val="0"/>
        <w:spacing w:before="240" w:line-rule="auto"/>
        <w:ind w:firstLine="540"/>
        <w:jc w:val="both"/>
      </w:pPr>
      <w:r>
        <w:rPr>
          <w:sz w:val="24"/>
        </w:rPr>
        <w:t xml:space="preserve">В силу </w:t>
      </w:r>
      <w:hyperlink w:history="0" r:id="rId15"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 38</w:t>
        </w:r>
      </w:hyperlink>
      <w:r>
        <w:rPr>
          <w:sz w:val="24"/>
        </w:rPr>
        <w:t xml:space="preserve"> Правил N 354 в случае установления двухкомпонентных тарифов на горячую воду размер платы за коммунальную услугу по горячему водоснабжению рассчитывается исходя из суммы стоимости компонента на холодную воду, предназначенную для подогрева в целях предоставления коммунальной услуги по горячему водоснабжению (или компонента на теплоноситель, являющегося составной частью тарифа на горячую воду в открытых системах теплоснабжения (горячего водоснабжения), и стоимости компонента на тепловую энергию, используемую на подогрев холодной воды в целях предоставления коммунальной услуги по горячему водоснабжению.</w:t>
      </w:r>
    </w:p>
    <w:p>
      <w:pPr>
        <w:pStyle w:val="0"/>
        <w:spacing w:before="240" w:line-rule="auto"/>
        <w:ind w:firstLine="540"/>
        <w:jc w:val="both"/>
      </w:pPr>
      <w:r>
        <w:rPr>
          <w:sz w:val="24"/>
        </w:rPr>
        <w:t xml:space="preserve">В соответствии с </w:t>
      </w:r>
      <w:hyperlink w:history="0" r:id="rId16"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42</w:t>
        </w:r>
      </w:hyperlink>
      <w:r>
        <w:rPr>
          <w:sz w:val="24"/>
        </w:rPr>
        <w:t xml:space="preserve"> Правил N 354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history="0" r:id="rId17"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формулой 23</w:t>
        </w:r>
      </w:hyperlink>
      <w:r>
        <w:rPr>
          <w:sz w:val="24"/>
        </w:rPr>
        <w:t xml:space="preserve"> приложения N 2 к Правилам N 354 исходя из показаний приборов учета горячей воды.</w:t>
      </w:r>
    </w:p>
    <w:p>
      <w:pPr>
        <w:pStyle w:val="0"/>
        <w:spacing w:before="240" w:line-rule="auto"/>
        <w:ind w:firstLine="540"/>
        <w:jc w:val="both"/>
      </w:pPr>
      <w:hyperlink w:history="0" r:id="rId18"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26</w:t>
        </w:r>
      </w:hyperlink>
      <w:r>
        <w:rPr>
          <w:sz w:val="24"/>
        </w:rPr>
        <w:t xml:space="preserve"> приложения N 2 к Правилам N 354 установлено, что размер платы за коммунальную услугу по горячему водоснабжению в i-м жилом или нежилом помещении определяется по формуле 23:</w:t>
      </w:r>
    </w:p>
    <w:p>
      <w:pPr>
        <w:pStyle w:val="0"/>
        <w:jc w:val="both"/>
      </w:pPr>
      <w:r>
        <w:rPr>
          <w:sz w:val="24"/>
        </w:rPr>
      </w:r>
    </w:p>
    <w:p>
      <w:pPr>
        <w:pStyle w:val="0"/>
        <w:jc w:val="center"/>
      </w:pPr>
      <w:r>
        <w:rPr>
          <w:position w:val="-10"/>
        </w:rPr>
        <w:drawing>
          <wp:inline distT="0" distB="0" distL="0" distR="0">
            <wp:extent cx="168021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80210" cy="285750"/>
                    </a:xfrm>
                    <a:prstGeom prst="rect">
                      <a:avLst/>
                    </a:prstGeom>
                    <a:noFill/>
                    <a:ln>
                      <a:noFill/>
                    </a:ln>
                  </pic:spPr>
                </pic:pic>
              </a:graphicData>
            </a:graphic>
          </wp:inline>
        </w:drawing>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position w:val="-10"/>
        </w:rPr>
        <w:drawing>
          <wp:inline distT="0" distB="0" distL="0" distR="0">
            <wp:extent cx="26289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62890" cy="285750"/>
                    </a:xfrm>
                    <a:prstGeom prst="rect">
                      <a:avLst/>
                    </a:prstGeom>
                    <a:noFill/>
                    <a:ln>
                      <a:noFill/>
                    </a:ln>
                  </pic:spPr>
                </pic:pic>
              </a:graphicData>
            </a:graphic>
          </wp:inline>
        </w:drawing>
      </w:r>
      <w:r>
        <w:rPr>
          <w:sz w:val="24"/>
        </w:rP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pPr>
        <w:pStyle w:val="0"/>
        <w:spacing w:before="240" w:line-rule="auto"/>
        <w:ind w:firstLine="540"/>
        <w:jc w:val="both"/>
      </w:pPr>
      <w:r>
        <w:rPr>
          <w:sz w:val="24"/>
        </w:rPr>
        <w:t xml:space="preserve">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pPr>
        <w:pStyle w:val="0"/>
        <w:spacing w:before="240" w:line-rule="auto"/>
        <w:ind w:firstLine="540"/>
        <w:jc w:val="both"/>
      </w:pPr>
      <w:r>
        <w:rPr>
          <w:sz w:val="24"/>
        </w:rPr>
        <w:t xml:space="preserve">в нежилом помещении - из расчетного объема, определенного в соответствии с </w:t>
      </w:r>
      <w:hyperlink w:history="0" r:id="rId20"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43</w:t>
        </w:r>
      </w:hyperlink>
      <w:r>
        <w:rPr>
          <w:sz w:val="24"/>
        </w:rPr>
        <w:t xml:space="preserve"> Правил N 354;</w:t>
      </w:r>
    </w:p>
    <w:p>
      <w:pPr>
        <w:pStyle w:val="0"/>
        <w:spacing w:before="240" w:line-rule="auto"/>
        <w:ind w:firstLine="540"/>
        <w:jc w:val="both"/>
      </w:pPr>
      <w:r>
        <w:rPr>
          <w:sz w:val="24"/>
        </w:rPr>
        <w:t xml:space="preserve">T</w:t>
      </w:r>
      <w:r>
        <w:rPr>
          <w:sz w:val="24"/>
          <w:vertAlign w:val="superscript"/>
        </w:rPr>
        <w:t xml:space="preserve">хв</w:t>
      </w:r>
      <w:r>
        <w:rPr>
          <w:sz w:val="24"/>
        </w:rP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spacing w:before="240" w:line-rule="auto"/>
        <w:ind w:firstLine="540"/>
        <w:jc w:val="both"/>
      </w:pPr>
      <w:r>
        <w:rPr>
          <w:position w:val="-10"/>
        </w:rPr>
        <w:drawing>
          <wp:inline distT="0" distB="0" distL="0" distR="0">
            <wp:extent cx="26289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
                      <a:extLst>
                        <a:ext uri="{28A0092B-C50C-407E-A947-70E740481C1C}">
                          <a14:useLocalDpi xmlns:a14="http://schemas.microsoft.com/office/drawing/2010/main" val="0"/>
                        </a:ext>
                      </a:extLst>
                    </a:blip>
                    <a:srcRect/>
                    <a:stretch>
                      <a:fillRect/>
                    </a:stretch>
                  </pic:blipFill>
                  <pic:spPr bwMode="auto">
                    <a:xfrm>
                      <a:off x="0" y="0"/>
                      <a:ext cx="262890" cy="285750"/>
                    </a:xfrm>
                    <a:prstGeom prst="rect">
                      <a:avLst/>
                    </a:prstGeom>
                    <a:noFill/>
                    <a:ln>
                      <a:noFill/>
                    </a:ln>
                  </pic:spPr>
                </pic:pic>
              </a:graphicData>
            </a:graphic>
          </wp:inline>
        </w:drawing>
      </w:r>
      <w:r>
        <w:rPr>
          <w:sz w:val="24"/>
        </w:rP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или нежилом помещении, рассчитывается как произведение </w:t>
      </w:r>
      <w:r>
        <w:rPr>
          <w:position w:val="-10"/>
        </w:rPr>
        <w:drawing>
          <wp:inline distT="0" distB="0" distL="0" distR="0">
            <wp:extent cx="26289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62890" cy="285750"/>
                    </a:xfrm>
                    <a:prstGeom prst="rect">
                      <a:avLst/>
                    </a:prstGeom>
                    <a:noFill/>
                    <a:ln>
                      <a:noFill/>
                    </a:ln>
                  </pic:spPr>
                </pic:pic>
              </a:graphicData>
            </a:graphic>
          </wp:inline>
        </w:drawing>
      </w:r>
      <w:r>
        <w:rPr>
          <w:sz w:val="24"/>
        </w:rP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pPr>
        <w:pStyle w:val="0"/>
        <w:spacing w:before="240" w:line-rule="auto"/>
        <w:ind w:firstLine="540"/>
        <w:jc w:val="both"/>
      </w:pPr>
      <w:r>
        <w:rPr>
          <w:sz w:val="24"/>
        </w:rPr>
        <w:t xml:space="preserve">T</w:t>
      </w:r>
      <w:r>
        <w:rPr>
          <w:sz w:val="24"/>
          <w:vertAlign w:val="superscript"/>
        </w:rPr>
        <w:t xml:space="preserve">т/э</w:t>
      </w:r>
      <w:r>
        <w:rPr>
          <w:sz w:val="24"/>
        </w:rP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pPr>
        <w:pStyle w:val="0"/>
        <w:spacing w:before="240" w:line-rule="auto"/>
        <w:ind w:firstLine="540"/>
        <w:jc w:val="both"/>
      </w:pPr>
      <w:r>
        <w:rPr>
          <w:sz w:val="24"/>
        </w:rPr>
        <w:t xml:space="preserve">Как следует из представленной формулы, объем тепловой энергии, используемой на подогрев воды в целях предоставления коммунальной услуги по горячему водоснабжению, определяется исходя из норматива расхода тепловой энергии, используемой на подогрев воды в целях предоставления коммунальной услуги по горячему водоснабжению.</w:t>
      </w:r>
    </w:p>
    <w:p>
      <w:pPr>
        <w:pStyle w:val="0"/>
        <w:spacing w:before="240" w:line-rule="auto"/>
        <w:ind w:firstLine="540"/>
        <w:jc w:val="both"/>
      </w:pPr>
      <w:r>
        <w:rPr>
          <w:sz w:val="24"/>
        </w:rPr>
        <w:t xml:space="preserve">Применение в расчетах стоимости коммунальной услуги по горячему водоснабжению фактического объема тепловой энергии, затраченного на подогрев воды, определенного по показаниям прибора учета тепловой энергии, законом не предусмотрено.</w:t>
      </w:r>
    </w:p>
    <w:p>
      <w:pPr>
        <w:pStyle w:val="0"/>
        <w:spacing w:before="240" w:line-rule="auto"/>
        <w:ind w:firstLine="540"/>
        <w:jc w:val="both"/>
      </w:pPr>
      <w:hyperlink w:history="0" r:id="rId22"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Абзацем двенадцатым пункта 42(1)</w:t>
        </w:r>
      </w:hyperlink>
      <w:r>
        <w:rPr>
          <w:sz w:val="24"/>
        </w:rPr>
        <w:t xml:space="preserve"> Правил N 354 установлено, что при открытой системе теплоснабжения (горячего водоснабжения), если узел учета тепловой энергии многоквартирного дома оснащен коллективным (общедомовым) прибором учета тепловой энергии, учитывающим общий объем (количество) тепловой энергии, потребленной на нужды отопления и горячего водоснабжения, для определения размера платы за коммунальную услугу по отоплению объем (количество) тепловой энергии, потребленной на нужды отопления, определяется как разность объема (количества) потребленной тепловой энергии, определенного на основании показаний коллективного (общедомового) прибора учета тепловой энергии, которым оборудован многоквартирный дом, и объема (количества) потребленной тепловой энергии, использованной на подогрев воды в целях предоставления коммунальной услуги по горячему водоснабжению, определенного как произведение норматива расхода тепловой энергии, использованной на подогрев воды в целях предоставления коммунальной услуги по горячему водоснабжению, и объема (количества) горячей воды, потребленной в помещениях многоквартирного дома и на общедомовые нужды.</w:t>
      </w:r>
    </w:p>
    <w:p>
      <w:pPr>
        <w:pStyle w:val="0"/>
        <w:spacing w:before="240" w:line-rule="auto"/>
        <w:ind w:firstLine="540"/>
        <w:jc w:val="both"/>
      </w:pPr>
      <w:r>
        <w:rPr>
          <w:sz w:val="24"/>
        </w:rPr>
        <w:t xml:space="preserve">Отмечается, что приведенная норма применяется исключительно при открытой системе теплоснабжения (горячего водоснабжения).</w:t>
      </w:r>
    </w:p>
    <w:p>
      <w:pPr>
        <w:pStyle w:val="0"/>
        <w:spacing w:before="240" w:line-rule="auto"/>
        <w:ind w:firstLine="540"/>
        <w:jc w:val="both"/>
      </w:pPr>
      <w:r>
        <w:rPr>
          <w:sz w:val="24"/>
        </w:rPr>
        <w:t xml:space="preserve">В случае, если система отопления является закрытой, отбор теплоносителя в целях предоставления коммунальной услуги по горячему водоснабжению из системы отопления не производится, при этом система отопления оснащена коллективным (общедомовым) прибором учета тепловой энергии, учитывающим объем (количество) тепловой энергии, потребленной на нужды отопления, тогда объем (количество) тепловой энергии, потребленной на нужды отопления, рассчитывается исходя из показаний указанного прибора учета.</w:t>
      </w:r>
    </w:p>
    <w:p>
      <w:pPr>
        <w:pStyle w:val="0"/>
        <w:spacing w:before="240" w:line-rule="auto"/>
        <w:ind w:firstLine="540"/>
        <w:jc w:val="both"/>
      </w:pPr>
      <w:r>
        <w:rPr>
          <w:sz w:val="24"/>
        </w:rPr>
        <w:t xml:space="preserve">При этом не имеет значения, оснащена ли система горячего водоснабжения коллективным (общедомовым) прибором учета тепловой энергии, использованной на подогрев воды в целях предоставления коммунальной услуги по горячему водоснабжению. Показания такого прибора учета не применяются ни при расчете размера платы за коммунальную услугу по отоплению, ни при расчете размера платы за коммунальную услугу по горячему водоснабжению.</w:t>
      </w:r>
    </w:p>
    <w:p>
      <w:pPr>
        <w:pStyle w:val="0"/>
        <w:spacing w:before="240" w:line-rule="auto"/>
        <w:ind w:firstLine="540"/>
        <w:jc w:val="both"/>
      </w:pPr>
      <w:r>
        <w:rPr>
          <w:sz w:val="24"/>
        </w:rPr>
        <w:t xml:space="preserve">Дополнительно отмечается, что в соответствии с </w:t>
      </w:r>
      <w:hyperlink w:history="0" r:id="rId23"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28.04.2025 N 24963-ДН/04</w:t>
            <w:br/>
            <w:t>&lt;О Правилах предоставления коммунальных услуг собственникам и польз...</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28.04.2025 N 24963-ДН/04 &lt;О Правилах предоставления коммунальных услуг собственникам и польз...</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85337&amp;date=07.05.2025&amp;dst=100935&amp;field=134&amp;demo=2" TargetMode = "External"/>
	<Relationship Id="rId7" Type="http://schemas.openxmlformats.org/officeDocument/2006/relationships/hyperlink" Target="https://login.consultant.ru/link/?req=doc&amp;base=LAW&amp;n=485337&amp;date=07.05.2025&amp;dst=283&amp;field=134&amp;demo=2" TargetMode = "External"/>
	<Relationship Id="rId8" Type="http://schemas.openxmlformats.org/officeDocument/2006/relationships/hyperlink" Target="https://login.consultant.ru/link/?req=doc&amp;base=LAW&amp;n=485337&amp;date=07.05.2025&amp;dst=282&amp;field=134&amp;demo=2" TargetMode = "External"/>
	<Relationship Id="rId9" Type="http://schemas.openxmlformats.org/officeDocument/2006/relationships/hyperlink" Target="https://login.consultant.ru/link/?req=doc&amp;base=LAW&amp;n=485337&amp;date=07.05.2025&amp;dst=100935&amp;field=134&amp;demo=2" TargetMode = "External"/>
	<Relationship Id="rId10" Type="http://schemas.openxmlformats.org/officeDocument/2006/relationships/hyperlink" Target="https://login.consultant.ru/link/?req=doc&amp;base=LAW&amp;n=485337&amp;date=07.05.2025&amp;dst=101604&amp;field=134&amp;demo=2" TargetMode = "External"/>
	<Relationship Id="rId11" Type="http://schemas.openxmlformats.org/officeDocument/2006/relationships/image" Target="media/image2.wmf"/>
	<Relationship Id="rId12" Type="http://schemas.openxmlformats.org/officeDocument/2006/relationships/image" Target="media/image3.wmf"/>
	<Relationship Id="rId13" Type="http://schemas.openxmlformats.org/officeDocument/2006/relationships/hyperlink" Target="https://login.consultant.ru/link/?req=doc&amp;base=LAW&amp;n=485337&amp;date=07.05.2025&amp;dst=101268&amp;field=134&amp;demo=2" TargetMode = "External"/>
	<Relationship Id="rId14" Type="http://schemas.openxmlformats.org/officeDocument/2006/relationships/hyperlink" Target="https://login.consultant.ru/link/?req=doc&amp;base=LAW&amp;n=485337&amp;date=07.05.2025&amp;dst=100807&amp;field=134&amp;demo=2" TargetMode = "External"/>
	<Relationship Id="rId15" Type="http://schemas.openxmlformats.org/officeDocument/2006/relationships/hyperlink" Target="https://login.consultant.ru/link/?req=doc&amp;base=LAW&amp;n=485337&amp;date=07.05.2025&amp;dst=100244&amp;field=134&amp;demo=2" TargetMode = "External"/>
	<Relationship Id="rId16" Type="http://schemas.openxmlformats.org/officeDocument/2006/relationships/hyperlink" Target="https://login.consultant.ru/link/?req=doc&amp;base=LAW&amp;n=485337&amp;date=07.05.2025&amp;dst=100935&amp;field=134&amp;demo=2" TargetMode = "External"/>
	<Relationship Id="rId17" Type="http://schemas.openxmlformats.org/officeDocument/2006/relationships/hyperlink" Target="https://login.consultant.ru/link/?req=doc&amp;base=LAW&amp;n=485337&amp;date=07.05.2025&amp;dst=100997&amp;field=134&amp;demo=2" TargetMode = "External"/>
	<Relationship Id="rId18" Type="http://schemas.openxmlformats.org/officeDocument/2006/relationships/hyperlink" Target="https://login.consultant.ru/link/?req=doc&amp;base=LAW&amp;n=485337&amp;date=07.05.2025&amp;dst=100996&amp;field=134&amp;demo=2" TargetMode = "External"/>
	<Relationship Id="rId19" Type="http://schemas.openxmlformats.org/officeDocument/2006/relationships/image" Target="media/image4.wmf"/>
	<Relationship Id="rId20" Type="http://schemas.openxmlformats.org/officeDocument/2006/relationships/hyperlink" Target="https://login.consultant.ru/link/?req=doc&amp;base=LAW&amp;n=485337&amp;date=07.05.2025&amp;dst=101604&amp;field=134&amp;demo=2" TargetMode = "External"/>
	<Relationship Id="rId21" Type="http://schemas.openxmlformats.org/officeDocument/2006/relationships/image" Target="media/image5.wmf"/>
	<Relationship Id="rId22" Type="http://schemas.openxmlformats.org/officeDocument/2006/relationships/hyperlink" Target="https://login.consultant.ru/link/?req=doc&amp;base=LAW&amp;n=485337&amp;date=07.05.2025&amp;dst=101648&amp;field=134&amp;demo=2" TargetMode = "External"/>
	<Relationship Id="rId23" Type="http://schemas.openxmlformats.org/officeDocument/2006/relationships/hyperlink" Target="https://login.consultant.ru/link/?req=doc&amp;base=LAW&amp;n=490536&amp;date=07.05.2025&amp;dst=15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28.04.2025 N 24963-ДН/04
&lt;О Правилах предоставления коммунальных услуг собственникам и пользователям помещений в многоквартирных домах и жилых домов&gt;</dc:title>
  <dcterms:created xsi:type="dcterms:W3CDTF">2025-05-07T13:34:11Z</dcterms:created>
</cp:coreProperties>
</file>