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10.04.2025 N 196н</w:t>
              <w:br/>
              <w:t xml:space="preserve">"Об утверждении Стандарта оказания услуги по социально-психологической реабилитации и абилитации инвалидов, получивших травму, ранение, контузию, увечье в связи с боевыми действиями"</w:t>
              <w:br/>
              <w:t xml:space="preserve">(Зарегистрировано в Минюсте России 15.05.2025 N 82192)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15 мая 2025 г. N 82192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10 апреля 2025 г. N 196н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УСЛУГИ ПО СОЦИАЛЬНО-ПСИХОЛОГИЧЕСКОЙ РЕАБИЛИТАЦИИ</w:t>
      </w:r>
    </w:p>
    <w:p>
      <w:pPr>
        <w:pStyle w:val="2"/>
        <w:jc w:val="center"/>
      </w:pPr>
      <w:r>
        <w:rPr>
          <w:sz w:val="24"/>
        </w:rPr>
        <w:t xml:space="preserve">И АБИЛИТАЦИИ ИНВАЛИДОВ, ПОЛУЧИВШИХ ТРАВМУ, РАНЕНИЕ,</w:t>
      </w:r>
    </w:p>
    <w:p>
      <w:pPr>
        <w:pStyle w:val="2"/>
        <w:jc w:val="center"/>
      </w:pPr>
      <w:r>
        <w:rPr>
          <w:sz w:val="24"/>
        </w:rPr>
        <w:t xml:space="preserve">КОНТУЗИЮ, УВЕЧЬЕ В СВЯЗИ С БОЕВЫМИ ДЕЙСТВИЯМИ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30" w:tooltip="СТАНДАРТ">
        <w:r>
          <w:rPr>
            <w:sz w:val="24"/>
            <w:color w:val="0000ff"/>
          </w:rPr>
          <w:t xml:space="preserve">Стндарт</w:t>
        </w:r>
      </w:hyperlink>
      <w:r>
        <w:rPr>
          <w:sz w:val="24"/>
        </w:rPr>
        <w:t xml:space="preserve"> оказания услуги по социально-психологической реабилитации и абилитации инвалидов, получивших травму, ранение, контузию, увечье в связи с боевыми действиями.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10 апреля 2025 г. N 196н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СТАНДАРТ</w:t>
      </w:r>
    </w:p>
    <w:p>
      <w:pPr>
        <w:pStyle w:val="2"/>
        <w:jc w:val="center"/>
      </w:pPr>
      <w:r>
        <w:rPr>
          <w:sz w:val="24"/>
        </w:rPr>
        <w:t xml:space="preserve">ОКАЗАНИЯ УСЛУГИ ПО СОЦИАЛЬНО-ПСИХОЛОГИЧЕСКОЙ РЕАБИЛИТАЦИИ</w:t>
      </w:r>
    </w:p>
    <w:p>
      <w:pPr>
        <w:pStyle w:val="2"/>
        <w:jc w:val="center"/>
      </w:pPr>
      <w:r>
        <w:rPr>
          <w:sz w:val="24"/>
        </w:rPr>
        <w:t xml:space="preserve">И АБИЛИТАЦИИ ИНВАЛИДОВ, ПОЛУЧИВШИХ ТРАВМУ, РАНЕНИЕ,</w:t>
      </w:r>
    </w:p>
    <w:p>
      <w:pPr>
        <w:pStyle w:val="2"/>
        <w:jc w:val="center"/>
      </w:pPr>
      <w:r>
        <w:rPr>
          <w:sz w:val="24"/>
        </w:rPr>
        <w:t xml:space="preserve">КОНТУЗИЮ, УВЕЧЬЕ В СВЯЗИ С БОЕВЫМИ ДЕЙСТВИЯМИ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I. Общие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Стандарт оказания услуги по социально-психологической реабилитации и абилитации инвалидов, получивших травму, ранение, контузию, увечье в связи с боевыми действиями (далее соответственно - стандарт, услуга, инвалид) определяет основные требования к содержанию, объему, периодичности и качеству оказания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Стандарт разработан в соответствии с: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8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ноября 1995 г. N 181-ФЗ "О социальной защите в Российской Федерации";</w:t>
      </w:r>
    </w:p>
    <w:p>
      <w:pPr>
        <w:pStyle w:val="0"/>
        <w:spacing w:before="240" w:line-rule="auto"/>
        <w:ind w:firstLine="540"/>
        <w:jc w:val="both"/>
      </w:pPr>
      <w:hyperlink w:history="0" r:id="rId9" w:tooltip="Постановление Правительства РФ от 31.07.2024 N 1033 &quot;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31 июля 2024 г. N 1033 "Об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а также Правил разработки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включая определение их структуры и содержания";</w:t>
      </w:r>
    </w:p>
    <w:p>
      <w:pPr>
        <w:pStyle w:val="0"/>
        <w:spacing w:before="240" w:line-rule="auto"/>
        <w:ind w:firstLine="540"/>
        <w:jc w:val="both"/>
      </w:pPr>
      <w:hyperlink w:history="0" r:id="rId10" w:tooltip="Приказ Минтруда России от 26.07.2024 N 374н &quot;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&quot; (Зарегистрировано в Минюсте России 23.08.2024 N 79273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26 июля 2024 г. N 374н "Об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экспертизы" (зарегистрирован Министерством юстиции Российской Федерации 23 августа 2024 г., регистрационный N 79273);</w:t>
      </w:r>
    </w:p>
    <w:p>
      <w:pPr>
        <w:pStyle w:val="0"/>
        <w:spacing w:before="240" w:line-rule="auto"/>
        <w:ind w:firstLine="540"/>
        <w:jc w:val="both"/>
      </w:pPr>
      <w:hyperlink w:history="0" r:id="rId11" w:tooltip="Приказ Минтруда России от 30.07.2024 N 377н &quot;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&quot; (Зарегистрировано в Минюсте России 02.09.2024 N 7936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30 июля 2024 г. N 377н "Об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эффективности" (зарегистрирован Министерством юстиции Российской Федерации 2 сентября 2024 г., регистрационный N 79366);</w:t>
      </w:r>
    </w:p>
    <w:p>
      <w:pPr>
        <w:pStyle w:val="0"/>
        <w:spacing w:before="240" w:line-rule="auto"/>
        <w:ind w:firstLine="540"/>
        <w:jc w:val="both"/>
      </w:pPr>
      <w:hyperlink w:history="0" r:id="rId12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31 июля 2024 г. N 385н "Об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инвалидов" (зарегистрирован Министерством юстиции Российской Федерации 30 августа 2024 г., регистрационный N 79347);</w:t>
      </w:r>
    </w:p>
    <w:p>
      <w:pPr>
        <w:pStyle w:val="0"/>
        <w:spacing w:before="240" w:line-rule="auto"/>
        <w:ind w:firstLine="540"/>
        <w:jc w:val="both"/>
      </w:pPr>
      <w:hyperlink w:history="0" r:id="rId13" w:tooltip="Приказ Минтруда России от 02.09.2024 N 445н &quot;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&quot; (Зарегистрировано в Минюсте России 27.11.2024 N 80349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 сентября 2024 г. N 445н "Об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инвалидов" (зарегистрирован Министерством юстиции Российской Федерации 27 ноября 2024 г., регистрационный N 80349);</w:t>
      </w:r>
    </w:p>
    <w:p>
      <w:pPr>
        <w:pStyle w:val="0"/>
        <w:spacing w:before="240" w:line-rule="auto"/>
        <w:ind w:firstLine="540"/>
        <w:jc w:val="both"/>
      </w:pPr>
      <w:hyperlink w:history="0" r:id="rId14" w:tooltip="Приказ Минтруда России от 18.09.2024 N 466н &quot;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18 сентября 2024 г. N 466н "Об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абилитации инвалида и индивидуальной программы реабилитации и абилитации ребенка-инвалида, включая мониторинг такой реализации и предоставление информации о результатах мониторинга в высший исполнительный орган субъект Российской Федерации" (зарегистрирован Министерством юстиции Российской Федерации 4 февраля 2025 г., регистрационный N 81142).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Термины и определения: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вспомогательные средства - любые изделия (в том числе устройства, оборудование, инструменты и программное обеспечение), специально разработанные и изготовленные или серийные, основное назначение которых заключается в поддержании или улучшении жизнедеятельности или самостоятельности личности и облегчения улучшения участия в любых проявлениях (для защиты, поддержки, тренировки, обучения, измерения или замены функций, структур и видов деятельности тела, а также для предотвращения предотвратимых повреждений, ограничений активности и участия) &lt;1&gt;;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5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<w:r>
          <w:rPr>
            <w:sz w:val="24"/>
            <w:color w:val="0000ff"/>
          </w:rPr>
          <w:t xml:space="preserve">Приложение B</w:t>
        </w:r>
      </w:hyperlink>
      <w:r>
        <w:rPr>
          <w:sz w:val="24"/>
        </w:rPr>
        <w:t xml:space="preserve"> (справочное) ГОСТ Р ИСО 9999-2019 "Национальный стандарт Российской Федерации. Вспомогательные средства для людей с ограничениями жизнедеятельности. Классификация и терминология", введенный в действие </w:t>
      </w:r>
      <w:hyperlink w:history="0" r:id="rId16" w:tooltip="Приказ Росстандарта от 29.08.2019 N 586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29 августа 2019 г. N 586-ст (М.: Стандартинформ, 2019).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технические средства реабилитации - устройства, содержащие технические решения, в том числе специальные, используемые для компенсации или устранения стойких ограничений жизнедеятельности инвалида &lt;2&gt;.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11.1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В стандарте используются следующие сокращения: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АДК - альтернативная и дополнительная коммуникация (общение с использованием взгляда, мимики, жеста, предмета, графического изображения, знаковой системы, специальных технических приспособлений);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ВПФ - высшие психические функции;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диапазонный показатель - нижние и верхние границы объема мероприятий, входящих в состав услуги, при этом количество запланированных мероприятий, входящих в состав услуги, не должно выходить за границы диапазонного показателя;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информирование - реабилитационное мероприятие, которое заключается в предоставлении инвалиду информации по вопросам, относящимся к социально-психологической реабилитации (изложение целей, задач, содержания мероприятий по социально-психологической реабилитации инвалидов, ожидаемых результатах; об организациях, реализующих мероприятия по социально-психологической реабилитации и другое) с целью повышения уровня осведомленности инвалида, касающейся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ИПРА инвалида - индивидуальная программа реабилитации или абилитации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конкретная цель реабилитации и абилитации - формирование, восстановление или компенсация параметров психофизиологического функционирования, обуславливающих ОЖД (ограничение способности к самообслуживанию, способности к общению, способности к ориентации, способности к обучению, способности к самостоятельному передвижению, способности контролировать свое поведение, способности к трудовой деятельности). Определяется реабилитационной организацией при проведении социально-психологической диагностики первичной (входящей) на курс реабилитации;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консультирование (социальное-психологическое) - реабилитационное мероприятие в формате индивидуальной беседы с инвалидом в целях разрешения его психологических проблем, в том числе обусловленных инвалидностью, в различных сферах: межличностных и семейных отношений, профессиональной самореализации, дезадаптивных психоэмоциональных состояний и другое;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курс реабилитации - определенный период времени, в течение которого реализуется комплекс реабилитационных мероприятий, составляющий услугу по реабилитации и 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МКФ - международная классификация функционирования, ограничений жизнедеятельности и здоровья;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междисциплинарная команда - структурно-функциональная единица, объединяющая специалистов по реабилитации и абилитации медицинского и немедицинского профиля (врачи и средний медицинский персонал, психологи, педагоги, специалисты по социальной работе, по адаптивной физической культуре и другие) для оказания инвалидам реабилитационных (абилитационных) услуг на основе комплексного междисциплинарного подхода;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МСЭ - медико-социальная экспертиза;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общая цель реабилитации и абилитации - наиболее полное восстановление, компенсация утраченных возможностей организма (ограничений жизнедеятельности). Определяется в ходе проведения медико-социальной экспертизы;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обязательные специалисты - специалисты, которые в соответствии с уровнем своего образования и профессиональных компетенций могут осуществлять мероприятия, входящие в состав услуги, и наличие которых в реабилитационной организации является обязательным;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ОЖД - ограничения жизнедеятельности;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эффективности - определение уровня социального (социально-психологического) статуса активности и участия инвалида, достигнутого в результате реализации реабилитационных (абилитационных) мероприятий за курс реабилитации по отношению к исходному;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практические занятия (психологическая коррекция) - реабилитационное мероприятие в индивидуальной и групповой форме, направленное на коррекцию (восстановление, формирование, развитие) высших психических функций, личностных качеств, характера межличностных взаимодействий, поведения и эмоций посредством психологических, пато- или нейрокоррекционных методик, психотерапевтических практик, а также аппаратно-программных методов;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ПС - полустационарная форма оказания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психологический тренинг - реабилитационное мероприятие, которое как групповая форма активного обучения направлено на формирование и (или) отработку психологических навыков и перепрограммирование имеющейся модели управления поведением и деятельностью в целях достижения адаптивного социального функционирования;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ПТСР - посттравматическое стрессовое расстройство;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реабилитационная (абилитационная) карта - унифицированная форма, содержащая сведения об инвалиде, результаты его диагностики, социальные статусы, информацию о количестве планируемых и проведенных реабилитационных мероприятий (реабилитационном маршруте), применяемых методах и методиках, реабилитационном оборудовании, а также оценку эффективности курса реабилитации &lt;3&gt;;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8" w:tooltip="Приказ Минтруда России от 02.09.2024 N 445н &quot;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&quot; (Зарегистрировано в Минюсте России 27.11.2024 N 80349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2 сентября 2024 г. N 445н "Об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инвалидов" (зарегистрирован Министерством юстиции Российской Федерации 27 ноября 2024 г., регистрационный N 80349).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реабилитационная (абилитационная) услуга - комплекс мероприятий по одному из направлений комплексной реабилитации или абилитации инвалидов, направленный на восстановление (формирование) или компенсацию способностей инвалида (ребенка-инвалида) к бытовой, общественной, профессиональной и иной деятельности в целях достижения социальной адаптации и интеграции;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реабилитационное мероприятие - действие (действия) по одному из направлений комплексной реабилитации или абилитации инвалидов, направленное на восстановление (формирование) или компенсацию способностей инвалида к бытовой, общественной, профессиональной и иной деятельности в целях достижения социальной адаптации и интеграции;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реабилитационное оборудование - устройства (ТСР, вспомогательные средства, в том числе приборы, аппаратура, приспособления), используемые при выполнении действий по предоставлению реабилитационных (абилитационных)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реабилитационный маршрут - индивидуальный план, разработанный по результатам социально-психологической диагностики первичной (входящей), включающий количественное распределение мероприятий в рамках оказания услуги и специалистов, их реализующих. Информация по реабилитационному маршруту заносится в реабилитационную карту;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реабилитационная приверженность - психологическая направленность инвалида на реабилитацию, активность и участие в социальном восстановлении в различных сферах жизнедеятельности (в быту, в межличностном общении, в труде, обучении, социокультурной среде и так далее);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реабилитационный эффект - динамические изменения в состоянии социального (социально-психологического) статуса инвалида (его активности и участия) после получения услуги по социально-психологической реабилитации и абилитации, определяемые путем сопоставления актуального состояния до начала курса реабилитации и после его завершения по категориям Международной классификации функционирования, ограничений жизнедеятельности и здоровья;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рекомендуемые специалисты - специалисты, которые в соответствии с уровнем своего образования и профессиональных компетенций могут осуществлять мероприятия, входящие в состав услуги, их наличие способствует повышению качества оказания услуги, но не является обязательным;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- стационарная форма оказания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социально-психологическая диагностика - мероприятие, направленное на оценку социально-психологического статуса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социально-психологическая диагностика первичная (входящая) - реабилитационное мероприятие, направленное на исследование психической деятельности инвалида с целью выявления нарушений высших психических функций, нейродинамических, эмоционально-волевых и личностных особенностей, с применением валидных и апробированных методов диагностики (пато- или нейропсихологических методик, личностных тестов и аппаратно-программных методов), для постановки конкретной цели реабилитации и абилитации на курс реабилитации;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социально-психологическая диагностика повторная (контрольная) - реабилитационное мероприятие по окончании курса реабилитации, направленное на исследование психической деятельности инвалида с целью определения динамических изменений оцениваемых показателей, влияющих на достижение цели реабилитации (высших психических функций, нейродинамических, эмоционально-волевых и личностных особенностей), с применением валидных и апробированных методов диагностики (пато- или нейропсихологических методик, личностных тестов и аппаратно-программных методов), используемых при проведении входящей диагностики;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социально-психологический статус инвалида - характеристика актуального состояния высших психических функций, эмоционально-волевых и личностных характеристик, обеспечивающих реабилитационную приверженность инвалида к реализации жизнедеятельности в различных сферах (межличностной, трудовой, социокультурной и другим);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социально-психологическое просвещение - реабилитационное мероприятие, направленное на повышение реабилитационной компетентности и реабилитационной приверженности в целом у инвалида и его семьи с целью социальной адаптации и интеграции инвалида в общество. Проведение мероприятия предполагает тематические вебинары, лекции, распространение тематических информационных брошюр, раздаточного материала и другое;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способность к обучению - способность к целенаправленному процессу организации деятельности по овладению знаниями, умениями, навыками и компетенцией, приобретению опыта деятельности (в том числе профессионального, социального, культурного, бытового характера), развитию способностей, приобретению опыта применения знаний в повседневной жизни и формированию мотивации получения образования в течение всей жизни;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способность к общению - способность к установлению контактов между людьми путем восприятия, переработки, хранения, воспроизведения и передачи информации;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способность к ориентации - способность к адекватному восприятию личности и окружающей обстановки, оценке ситуации, к определению времени и места нахождения;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способность к самообслуживанию - способность человека самостоятельно осуществлять основные физиологические потребности, выполнять повседневную бытовую деятельность, в том числе использовать навыки личной гигиены;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способность к самостоятельному передвижению - способность самостоятельно перемещаться в пространстве, сохранять равновесие тела при передвижении, в покое и при перемене положения тела, пользоваться общественным транспортом;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способность к трудовой деятельности - способность осуществлять трудовую деятельность в соответствии с требованиями к содержанию, объему, качеству и условиям выполнения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способность контролировать свое поведение - способность к осознанию себя и адекватному поведению с учетом социально-правовых и морально-этических норм;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ТСР - техническое средство реабилитации;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- целевые реабилитационные группы инвалидов (группы инвалидов, объединенные в зависимости от структуры и степени нарушенных функций организма и ограничений жизнедеятельности в целях использования наиболее эффективных подходов к устранению или компенсации нарушений этих функций и ограничений жизнедеятельности при оказании услуг по основным направлениям комплексной реабилитации и абилитации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Наименование ЦРГ инвалидов, в отношении которых применяется стандарт:</w:t>
      </w:r>
    </w:p>
    <w:bookmarkStart w:id="102" w:name="P102"/>
    <w:bookmarkEnd w:id="102"/>
    <w:p>
      <w:pPr>
        <w:pStyle w:val="0"/>
        <w:spacing w:before="240" w:line-rule="auto"/>
        <w:jc w:val="both"/>
      </w:pPr>
      <w:r>
        <w:rPr>
          <w:sz w:val="24"/>
        </w:rPr>
        <w:t xml:space="preserve">ЦРГ 12 - инвалиды, получившие ранение (травму, контузию, увечье) или заболевание в связи с участием в боевых действиях;</w:t>
      </w:r>
    </w:p>
    <w:bookmarkStart w:id="103" w:name="P103"/>
    <w:bookmarkEnd w:id="103"/>
    <w:p>
      <w:pPr>
        <w:pStyle w:val="0"/>
        <w:spacing w:before="240" w:line-rule="auto"/>
        <w:jc w:val="both"/>
      </w:pPr>
      <w:r>
        <w:rPr>
          <w:sz w:val="24"/>
        </w:rPr>
        <w:t xml:space="preserve">ЦРГ 12.1 -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одной верхней конечности;</w:t>
      </w:r>
    </w:p>
    <w:bookmarkStart w:id="104" w:name="P104"/>
    <w:bookmarkEnd w:id="104"/>
    <w:p>
      <w:pPr>
        <w:pStyle w:val="0"/>
        <w:spacing w:before="240" w:line-rule="auto"/>
        <w:jc w:val="both"/>
      </w:pPr>
      <w:r>
        <w:rPr>
          <w:sz w:val="24"/>
        </w:rPr>
        <w:t xml:space="preserve">ЦРГ 12.2 -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верхних конечностей;</w:t>
      </w:r>
    </w:p>
    <w:bookmarkStart w:id="105" w:name="P105"/>
    <w:bookmarkEnd w:id="105"/>
    <w:p>
      <w:pPr>
        <w:pStyle w:val="0"/>
        <w:spacing w:before="240" w:line-rule="auto"/>
        <w:jc w:val="both"/>
      </w:pPr>
      <w:r>
        <w:rPr>
          <w:sz w:val="24"/>
        </w:rPr>
        <w:t xml:space="preserve">ЦРГ 12.3 -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одной нижней конечности;</w:t>
      </w:r>
    </w:p>
    <w:bookmarkStart w:id="106" w:name="P106"/>
    <w:bookmarkEnd w:id="106"/>
    <w:p>
      <w:pPr>
        <w:pStyle w:val="0"/>
        <w:spacing w:before="240" w:line-rule="auto"/>
        <w:jc w:val="both"/>
      </w:pPr>
      <w:r>
        <w:rPr>
          <w:sz w:val="24"/>
        </w:rPr>
        <w:t xml:space="preserve">ЦРГ 12.4 -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нижних конечностей;</w:t>
      </w:r>
    </w:p>
    <w:bookmarkStart w:id="107" w:name="P107"/>
    <w:bookmarkEnd w:id="107"/>
    <w:p>
      <w:pPr>
        <w:pStyle w:val="0"/>
        <w:spacing w:before="240" w:line-rule="auto"/>
        <w:jc w:val="both"/>
      </w:pPr>
      <w:r>
        <w:rPr>
          <w:sz w:val="24"/>
        </w:rPr>
        <w:t xml:space="preserve">ЦРГ 12.5 - инвалиды, получившие ранение (травму, контузию, увечье) или заболевание в связи с участием в боевых действиях, с последствиями травм, термических и химических ожогов, отморожений конечностей с формированием анкилозов, контрактур и стягивающих рубцов;</w:t>
      </w:r>
    </w:p>
    <w:bookmarkStart w:id="108" w:name="P108"/>
    <w:bookmarkEnd w:id="108"/>
    <w:p>
      <w:pPr>
        <w:pStyle w:val="0"/>
        <w:spacing w:before="240" w:line-rule="auto"/>
        <w:jc w:val="both"/>
      </w:pPr>
      <w:r>
        <w:rPr>
          <w:sz w:val="24"/>
        </w:rPr>
        <w:t xml:space="preserve">ЦРГ 12.6 - инвалиды, получившие ранение (травму, контузию, увечье) или заболевание в связи с участием в боевых действиях, с последствиями спинальной травмы и связанных с ней повреждений спинного мозга;</w:t>
      </w:r>
    </w:p>
    <w:bookmarkStart w:id="109" w:name="P109"/>
    <w:bookmarkEnd w:id="109"/>
    <w:p>
      <w:pPr>
        <w:pStyle w:val="0"/>
        <w:spacing w:before="240" w:line-rule="auto"/>
        <w:jc w:val="both"/>
      </w:pPr>
      <w:r>
        <w:rPr>
          <w:sz w:val="24"/>
        </w:rPr>
        <w:t xml:space="preserve">ЦРГ 12.7 - инвалиды, получившие ранение (травму, контузию, увечье) или заболевание в связи с участием в боевых действиях, с последствиями поражения периферической нервной системы;</w:t>
      </w:r>
    </w:p>
    <w:bookmarkStart w:id="110" w:name="P110"/>
    <w:bookmarkEnd w:id="110"/>
    <w:p>
      <w:pPr>
        <w:pStyle w:val="0"/>
        <w:spacing w:before="240" w:line-rule="auto"/>
        <w:jc w:val="both"/>
      </w:pPr>
      <w:r>
        <w:rPr>
          <w:sz w:val="24"/>
        </w:rPr>
        <w:t xml:space="preserve">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</w:t>
      </w:r>
    </w:p>
    <w:bookmarkStart w:id="111" w:name="P111"/>
    <w:bookmarkEnd w:id="111"/>
    <w:p>
      <w:pPr>
        <w:pStyle w:val="0"/>
        <w:spacing w:before="240" w:line-rule="auto"/>
        <w:jc w:val="both"/>
      </w:pPr>
      <w:r>
        <w:rPr>
          <w:sz w:val="24"/>
        </w:rPr>
        <w:t xml:space="preserve">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</w:t>
      </w:r>
    </w:p>
    <w:bookmarkStart w:id="112" w:name="P112"/>
    <w:bookmarkEnd w:id="112"/>
    <w:p>
      <w:pPr>
        <w:pStyle w:val="0"/>
        <w:spacing w:before="240" w:line-rule="auto"/>
        <w:jc w:val="both"/>
      </w:pPr>
      <w:r>
        <w:rPr>
          <w:sz w:val="24"/>
        </w:rPr>
        <w:t xml:space="preserve">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</w:t>
      </w:r>
    </w:p>
    <w:bookmarkStart w:id="113" w:name="P113"/>
    <w:bookmarkEnd w:id="113"/>
    <w:p>
      <w:pPr>
        <w:pStyle w:val="0"/>
        <w:spacing w:before="240" w:line-rule="auto"/>
        <w:jc w:val="both"/>
      </w:pPr>
      <w:r>
        <w:rPr>
          <w:sz w:val="24"/>
        </w:rPr>
        <w:t xml:space="preserve">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</w:t>
      </w:r>
    </w:p>
    <w:bookmarkStart w:id="114" w:name="P114"/>
    <w:bookmarkEnd w:id="114"/>
    <w:p>
      <w:pPr>
        <w:pStyle w:val="0"/>
        <w:spacing w:before="240" w:line-rule="auto"/>
        <w:jc w:val="both"/>
      </w:pPr>
      <w:r>
        <w:rPr>
          <w:sz w:val="24"/>
        </w:rPr>
        <w:t xml:space="preserve">ЦРГ 12.12 - инвалиды, получившие ранение (травму, контузию, увечье) или заболевание в связи с участием в боевых действиях, с последствиями поражения внутренних органов, в том числе с аномальными отверстиями пищеварительного, мочевыделительного, дыхательного трактов;</w:t>
      </w:r>
    </w:p>
    <w:bookmarkStart w:id="115" w:name="P115"/>
    <w:bookmarkEnd w:id="115"/>
    <w:p>
      <w:pPr>
        <w:pStyle w:val="0"/>
        <w:spacing w:before="240" w:line-rule="auto"/>
        <w:jc w:val="both"/>
      </w:pPr>
      <w:r>
        <w:rPr>
          <w:sz w:val="24"/>
        </w:rPr>
        <w:t xml:space="preserve">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</w:t>
      </w:r>
    </w:p>
    <w:bookmarkStart w:id="116" w:name="P116"/>
    <w:bookmarkEnd w:id="116"/>
    <w:p>
      <w:pPr>
        <w:pStyle w:val="0"/>
        <w:spacing w:before="240" w:line-rule="auto"/>
        <w:jc w:val="both"/>
      </w:pPr>
      <w:r>
        <w:rPr>
          <w:sz w:val="24"/>
        </w:rPr>
        <w:t xml:space="preserve">ЦРГ 13 - инвалиды, получившие травму, ранение, контузию, увечье в связи с боевыми действиями;</w:t>
      </w:r>
    </w:p>
    <w:bookmarkStart w:id="117" w:name="P117"/>
    <w:bookmarkEnd w:id="117"/>
    <w:p>
      <w:pPr>
        <w:pStyle w:val="0"/>
        <w:spacing w:before="240" w:line-rule="auto"/>
        <w:jc w:val="both"/>
      </w:pPr>
      <w:r>
        <w:rPr>
          <w:sz w:val="24"/>
        </w:rPr>
        <w:t xml:space="preserve">ЦРГ 13.1 - инвалиды, получившие травму, ранение, контузию, увечье в связи с боевыми действиями, вследствие приобретенного отсутствия (ампутации) одной верхней конечности;</w:t>
      </w:r>
    </w:p>
    <w:bookmarkStart w:id="118" w:name="P118"/>
    <w:bookmarkEnd w:id="118"/>
    <w:p>
      <w:pPr>
        <w:pStyle w:val="0"/>
        <w:spacing w:before="240" w:line-rule="auto"/>
        <w:jc w:val="both"/>
      </w:pPr>
      <w:r>
        <w:rPr>
          <w:sz w:val="24"/>
        </w:rPr>
        <w:t xml:space="preserve">ЦРГ 13.2 - инвалиды, получившие травму, ранение, контузию, увечье в связи с боевыми действиями, вследствие приобретенного отсутствия (ампутации) обеих верхних конечностей;</w:t>
      </w:r>
    </w:p>
    <w:bookmarkStart w:id="119" w:name="P119"/>
    <w:bookmarkEnd w:id="119"/>
    <w:p>
      <w:pPr>
        <w:pStyle w:val="0"/>
        <w:spacing w:before="240" w:line-rule="auto"/>
        <w:jc w:val="both"/>
      </w:pPr>
      <w:r>
        <w:rPr>
          <w:sz w:val="24"/>
        </w:rPr>
        <w:t xml:space="preserve">ЦРГ 13.3 - инвалиды, получившие травму, ранение, контузию, увечье в связи с боевыми действиями, вследствие приобретенного отсутствия (ампутации) одной нижней конечности;</w:t>
      </w:r>
    </w:p>
    <w:bookmarkStart w:id="120" w:name="P120"/>
    <w:bookmarkEnd w:id="120"/>
    <w:p>
      <w:pPr>
        <w:pStyle w:val="0"/>
        <w:spacing w:before="240" w:line-rule="auto"/>
        <w:jc w:val="both"/>
      </w:pPr>
      <w:r>
        <w:rPr>
          <w:sz w:val="24"/>
        </w:rPr>
        <w:t xml:space="preserve">ЦРГ 13.4 - инвалиды, получившие травму, ранение, контузию, увечье в связи с боевыми действиями, вследствие приобретенного отсутствия обеих нижних конечностей;</w:t>
      </w:r>
    </w:p>
    <w:bookmarkStart w:id="121" w:name="P121"/>
    <w:bookmarkEnd w:id="121"/>
    <w:p>
      <w:pPr>
        <w:pStyle w:val="0"/>
        <w:spacing w:before="240" w:line-rule="auto"/>
        <w:jc w:val="both"/>
      </w:pPr>
      <w:r>
        <w:rPr>
          <w:sz w:val="24"/>
        </w:rPr>
        <w:t xml:space="preserve">ЦРГ 13.5 - инвалиды, получившие травму, ранение, контузию, увечье в связи с боевыми действиями, вследствие травм, термических и химических ожогов, отморожений конечностей с формированием анкилозов, контрактур и стягивающих рубцов;</w:t>
      </w:r>
    </w:p>
    <w:bookmarkStart w:id="122" w:name="P122"/>
    <w:bookmarkEnd w:id="122"/>
    <w:p>
      <w:pPr>
        <w:pStyle w:val="0"/>
        <w:spacing w:before="240" w:line-rule="auto"/>
        <w:jc w:val="both"/>
      </w:pPr>
      <w:r>
        <w:rPr>
          <w:sz w:val="24"/>
        </w:rPr>
        <w:t xml:space="preserve">ЦРГ 13.6 - инвалиды, получившие травму, ранение, контузию, увечье в связи с боевыми действиями, вследствие спинальной травмы и связанных с ней повреждений спинного мозга;</w:t>
      </w:r>
    </w:p>
    <w:bookmarkStart w:id="123" w:name="P123"/>
    <w:bookmarkEnd w:id="123"/>
    <w:p>
      <w:pPr>
        <w:pStyle w:val="0"/>
        <w:spacing w:before="240" w:line-rule="auto"/>
        <w:jc w:val="both"/>
      </w:pPr>
      <w:r>
        <w:rPr>
          <w:sz w:val="24"/>
        </w:rPr>
        <w:t xml:space="preserve">ЦРГ 13.7 - инвалиды, получившие травму, ранение, контузию, увечье в связи с боевыми действиями, вследствие поражения периферической нервной системы;</w:t>
      </w:r>
    </w:p>
    <w:bookmarkStart w:id="124" w:name="P124"/>
    <w:bookmarkEnd w:id="124"/>
    <w:p>
      <w:pPr>
        <w:pStyle w:val="0"/>
        <w:spacing w:before="240" w:line-rule="auto"/>
        <w:jc w:val="both"/>
      </w:pPr>
      <w:r>
        <w:rPr>
          <w:sz w:val="24"/>
        </w:rPr>
        <w:t xml:space="preserve">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</w:t>
      </w:r>
    </w:p>
    <w:bookmarkStart w:id="125" w:name="P125"/>
    <w:bookmarkEnd w:id="125"/>
    <w:p>
      <w:pPr>
        <w:pStyle w:val="0"/>
        <w:spacing w:before="240" w:line-rule="auto"/>
        <w:jc w:val="both"/>
      </w:pPr>
      <w:r>
        <w:rPr>
          <w:sz w:val="24"/>
        </w:rPr>
        <w:t xml:space="preserve">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</w:t>
      </w:r>
    </w:p>
    <w:bookmarkStart w:id="126" w:name="P126"/>
    <w:bookmarkEnd w:id="126"/>
    <w:p>
      <w:pPr>
        <w:pStyle w:val="0"/>
        <w:spacing w:before="240" w:line-rule="auto"/>
        <w:jc w:val="both"/>
      </w:pPr>
      <w:r>
        <w:rPr>
          <w:sz w:val="24"/>
        </w:rPr>
        <w:t xml:space="preserve">ЦРГ 13.10 - инвалиды, получившие травму, ранение, контузию, увечье в связи с боевыми действиями, вследствие поражения органа зрения;</w:t>
      </w:r>
    </w:p>
    <w:bookmarkStart w:id="127" w:name="P127"/>
    <w:bookmarkEnd w:id="127"/>
    <w:p>
      <w:pPr>
        <w:pStyle w:val="0"/>
        <w:spacing w:before="240" w:line-rule="auto"/>
        <w:jc w:val="both"/>
      </w:pPr>
      <w:r>
        <w:rPr>
          <w:sz w:val="24"/>
        </w:rPr>
        <w:t xml:space="preserve">ЦРГ 13.11 - инвалиды, получившие травму, ранение, контузию, увечье в связи с боевыми действиями, вследствие поражения органа слуха;</w:t>
      </w:r>
    </w:p>
    <w:bookmarkStart w:id="128" w:name="P128"/>
    <w:bookmarkEnd w:id="128"/>
    <w:p>
      <w:pPr>
        <w:pStyle w:val="0"/>
        <w:spacing w:before="240" w:line-rule="auto"/>
        <w:jc w:val="both"/>
      </w:pPr>
      <w:r>
        <w:rPr>
          <w:sz w:val="24"/>
        </w:rPr>
        <w:t xml:space="preserve">ЦРГ 13.12 - инвалиды, получившие травму, ранение, контузию, увечье в связи с боевыми действиями, вследствие поражения внутренних органов, в том числе с аномальными отверстиями пищеварительного, мочевыделительного, дыхательного трактов;</w:t>
      </w:r>
    </w:p>
    <w:bookmarkStart w:id="129" w:name="P129"/>
    <w:bookmarkEnd w:id="129"/>
    <w:p>
      <w:pPr>
        <w:pStyle w:val="0"/>
        <w:spacing w:before="240" w:line-rule="auto"/>
        <w:jc w:val="both"/>
      </w:pPr>
      <w:r>
        <w:rPr>
          <w:sz w:val="24"/>
        </w:rPr>
        <w:t xml:space="preserve">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II. Форма оказания услуги, 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Форма оказания услуги: стационарная; полустационарная; на дому, в том числе дистанционно с применением информационно-телекоммуникационных технологий (далее - на дому).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Форма оказания услуги определяется реабилитационной организацией с учетом нарушений функций организма инвалида, а также условий территориальной и транспортной доступности для него.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Общими требованиями к выбору формы оказания услуги являются следующие: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в стационарной форме (в условиях круглосуточного пребывания, в том числе с сопровождающим лицом) оказывается инвалидам, имеющим ограничения 2 или 3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способность контролировать свое поведение, и (или) при отсутствии возможности у инвалида получить услугу в других формах (полустационарной, на дому);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в полустационарной форме (в условиях пребывания в определенное время суток или в условиях дневного стационара, в том с сопровождающим лицом), оказывается инвалидам, имеющим ограничения 1 или 2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способность контролировать свое поведение, а также при условии возможности посещения инвалидом реабилитационной организации (с учетом территориальной и транспортной доступности).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Рекомендуемыми показаниями для оказания услуги на дому является: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наличие у инвалидов ограничения 3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способность контролировать свое поведение, при невозможности получения услуги в иных формах в виду тяжести состояния здоровья (стационарной, полустационарной);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наличие у инвалидов ограничения 1 или 2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способность контролировать свое поведение, при невозможности получения услуги в иных формах (в том числе по причине территориальной и транспортной недоступности).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III. Условия оказания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 Услуга оказывается при наличии соответствующих рекомендаций в ИПРА инвалида, разрабатываемой федеральными учреждениями МСЭ.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Реабилитационная организация, предоставляющая услугу, должна иметь необходимый состав специалистов и оборудования, предусмотренный стандартом, с учетом ЦРГ (</w:t>
      </w:r>
      <w:hyperlink w:history="0" w:anchor="P189" w:tooltip="Раздел IV. Перечень специалистов, привлекаемых к реализации">
        <w:r>
          <w:rPr>
            <w:sz w:val="24"/>
            <w:color w:val="0000ff"/>
          </w:rPr>
          <w:t xml:space="preserve">Раздел IV</w:t>
        </w:r>
      </w:hyperlink>
      <w:r>
        <w:rPr>
          <w:sz w:val="24"/>
        </w:rPr>
        <w:t xml:space="preserve">, </w:t>
      </w:r>
      <w:hyperlink w:history="0" w:anchor="P663" w:tooltip="Раздел VIII. Примерный перечень необходимого">
        <w:r>
          <w:rPr>
            <w:sz w:val="24"/>
            <w:color w:val="0000ff"/>
          </w:rPr>
          <w:t xml:space="preserve">Раздел VIII</w:t>
        </w:r>
      </w:hyperlink>
      <w:r>
        <w:rPr>
          <w:sz w:val="24"/>
        </w:rPr>
        <w:t xml:space="preserve"> стандарта).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Услуга может оказываться изолировано (как самостоятельная услуга в случае определения федеральными учреждениями МСЭ нуждаемости только в социально-психологической реабилитации и абилитации и наличии соответствующей рекомендации в ИПРА инвалида) или комплексно с услугами других реабилитационных направлений (медицинская реабилитация, протезно-ортопедическая помощь, профессиональная, социокультурная реабилитация и абилитация, физическая реабилитация и абилитация с использованием средств физической культуры и спорта) при определении в ИПРА инвалида нуждаемости в данных реабилитационных (абилитационных) услугах.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В целях повышения эффективности услуга может предоставляться в комплексе с иными видами деятельности реабилитационных организаций, предусмотренными действующим законодательством и нормативными правовыми актами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Получателем мероприятий, входящих в состав услуги, является инвалид. При наличии у инвалида значительно выраженных нарушений функций организма (при необходимости) часть мероприятий обучающего и информационного характера можно оказывать сопровождающему инвалида члену семьи.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Содержание мероприятий, входящих в состав услуги, одинаково для всех ЦРГ ввиду специфики инвалидности, полученной в условиях, связанных с боевыми действиями и (или) участием в них, а также особенностей самой услуги, показаниями для которой являются ОЖД всех категорий &lt;4&gt;. Особенности каждой ЦРГ учтены при использовании методов, методик, реабилитационного оборудования и отражены в диапазонном показателе количества мероприятий.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9" w:tooltip="Приказ Минтруда России от 30.07.2024 N 377н &quot;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&quot; (Зарегистрировано в Минюсте России 02.09.2024 N 79366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30 июля 2024 г. N 377н "Об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эффективности" (зарегистрирован Министерством юстиции Российской Федерации 2 сентября 2024 г., регистрационный N 79366).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16. Услуга оказывается междисциплинарной командой, в состав которой входят обязательные и рекомендуемые специалисты, определенные стандартом для каждой конкретной ЦРГ в </w:t>
      </w:r>
      <w:hyperlink w:history="0" w:anchor="P189" w:tooltip="Раздел IV. Перечень специалистов, привлекаемых к реализации">
        <w:r>
          <w:rPr>
            <w:sz w:val="24"/>
            <w:color w:val="0000ff"/>
          </w:rPr>
          <w:t xml:space="preserve">Разделе IV</w:t>
        </w:r>
      </w:hyperlink>
      <w:r>
        <w:rPr>
          <w:sz w:val="24"/>
        </w:rPr>
        <w:t xml:space="preserve"> стандарта (при перечислении в перечне должностей специалистов через слеш (/) допустимо наличие в организации минимум одной из перечисленных должностей). Один и тот же специалист междисциплинарной команды может оказывать услугу инвалидам нескольких ЦРГ.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Для оказания услуги реабилитационная организация должна быть оснащена необходимым реабилитационным оборудованием в соответствии с положениями </w:t>
      </w:r>
      <w:hyperlink w:history="0" r:id="rId20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Минтруда России от 31 июля 2024 г. N 385н "Об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инвалидов" &lt;5&gt;. Примерный перечень необходимого реабилитационного оборудования (вспомогательных средств и технических средств реабилитации) указан в </w:t>
      </w:r>
      <w:hyperlink w:history="0" w:anchor="P663" w:tooltip="Раздел VIII. Примерный перечень необходимого">
        <w:r>
          <w:rPr>
            <w:sz w:val="24"/>
            <w:color w:val="0000ff"/>
          </w:rPr>
          <w:t xml:space="preserve">Разделе VIII</w:t>
        </w:r>
      </w:hyperlink>
      <w:r>
        <w:rPr>
          <w:sz w:val="24"/>
        </w:rPr>
        <w:t xml:space="preserve"> стандарта и включает наименования вспомогательных средств с указанием кода по </w:t>
      </w:r>
      <w:hyperlink w:history="0" r:id="rId21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<w:r>
          <w:rPr>
            <w:sz w:val="24"/>
            <w:color w:val="0000ff"/>
          </w:rPr>
          <w:t xml:space="preserve">ГОСТ Р ИСО 9999-2019</w:t>
        </w:r>
      </w:hyperlink>
      <w:r>
        <w:rPr>
          <w:sz w:val="24"/>
        </w:rPr>
        <w:t xml:space="preserve"> "Национальный стандарт Российской Федерации. Вспомогательные средства для людей с ограничениями жизнедеятельности. Классификация и терминология", введенного в действие </w:t>
      </w:r>
      <w:hyperlink w:history="0" r:id="rId22" w:tooltip="Приказ Росстандарта от 29.08.2019 N 586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29 августа 2019 г. N 586-ст (М.: Стандартинформ, 2019; далее - ГОСТ-9999), и цели его использования. При выборе реабилитационного оборудования реабилитационная организация может использовать вариативность в рамках указанных позиций вспомогательных средств.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23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31 июля 2024 г. N 385н "Об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инвалидов" (зарегистрирован Министерством юстиции Российской Федерации 30 августа 2024 г., регистрационный N 79347) (далее - приказ N 385н).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Примерный перечень вспомогательных средств представлен максимальным числом позиций в соответствии с Типовым положением о многопрофильной организации для инвалидов и (или) детей-инвалидов (</w:t>
      </w:r>
      <w:hyperlink w:history="0" r:id="rId24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приложение N 2</w:t>
        </w:r>
      </w:hyperlink>
      <w:r>
        <w:rPr>
          <w:sz w:val="24"/>
        </w:rPr>
        <w:t xml:space="preserve"> к приказу N 385н) и для реабилитационных организаций профильного типа требуется выбор из представленного списка только необходимых позиций, указанных в </w:t>
      </w:r>
      <w:hyperlink w:history="0" r:id="rId25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приказу N 385н.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При оказании услуг по отдельным основным направлениям комплексной реабилитации и абилитации необходимо учитывать состояние здоровья инвалида, медицинские противопоказания, определяемые нормативным правовым регулированием в сфере охраны здоровья граждан и социального обслуживания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наличии противопоказаний по запросу инвалида часть мероприятий, не требующих личного присутствия специалистов, может предоставляться в дистанционном формате с использованием телекоммуникационных технологий (информирование, консультирование, практические занятия, просвещение).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отказа инвалида от получения услуги, обоснованного состояниям здоровья, предоставление курса реабилитации может быть перенесено на другой период времени по согласованию с получателем услуги, в рамках срока действия ИПРА 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При оказании услуги должны быть соблюдены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осуществляется в соответствии с рекомендациями в ИПРА инвалида, с учетом общей цели реабилитации и абилитации, которая определяется специалистами федеральных учреждений МСЭ при проведении экспертно-реабилитационной диагностики;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привлечение сопровождающих (членов семьи) производится по заявлению инвалида с указанием конкретного лица, которое будет осуществлять уход и являться сопровождающим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проведении социально-психологической диагностики специалист оценивает степень ограничений в категориях доменов МКФ "Функции организма", "Активность и участие", косвенно (либо напрямую) обусловливающих ограничения в основных категориях жизнедеятельности ("способность к самообслуживанию", "способность к самостоятельному передвижению", "способность к общению", "способность к ориентации", "способность контролировать свое поведение", "способность к обучению", "способность к трудовой деятельности") в соответствии с протоколом, представленным в </w:t>
      </w:r>
      <w:hyperlink w:history="0" w:anchor="P1487" w:tooltip="26. Протокол оценки эффективности проведенного курса социально-психологической реабилитации и абилитации.">
        <w:r>
          <w:rPr>
            <w:sz w:val="24"/>
            <w:color w:val="0000ff"/>
          </w:rPr>
          <w:t xml:space="preserve">пункте 26 Раздела X</w:t>
        </w:r>
      </w:hyperlink>
      <w:r>
        <w:rPr>
          <w:sz w:val="24"/>
        </w:rPr>
        <w:t xml:space="preserve">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постановка целей реабилитации и абилитации при оказании услуги осуществляется специалистами междисциплинарной команды; конкретные цели реабилитации и абилитации формируются по каждому отдельному мероприятию. Специалист обязан проинформировать инвалида о целях, задачах, содержании и ожидаемых результатах мероприятия;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планирование количества мероприятий, входящих в состав услуги, основывается на актуальной индивидуальной потребности инвалида в данном мероприятии, но не может быть меньше минимального количества мероприятий и больше максимального количества, отраженного в диапазонном показателе для каждой конкретной ЦРГ (</w:t>
      </w:r>
      <w:hyperlink w:history="0" w:anchor="P427" w:tooltip="24. Показатели кратности реабилитационных мероприятий социально-психологической реабилитации и абилитации в соответствии с ЦРГ инвалида">
        <w:r>
          <w:rPr>
            <w:sz w:val="24"/>
            <w:color w:val="0000ff"/>
          </w:rPr>
          <w:t xml:space="preserve">пункт 24 Раздела VII</w:t>
        </w:r>
      </w:hyperlink>
      <w:r>
        <w:rPr>
          <w:sz w:val="24"/>
        </w:rPr>
        <w:t xml:space="preserve"> стандарта);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каждого инвалида ведется реабилитационная (абилитационная) </w:t>
      </w:r>
      <w:hyperlink w:history="0" r:id="rId26" w:tooltip="Приказ Минтруда России от 02.09.2024 N 445н &quot;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&quot; (Зарегистрировано в Минюсте России 27.11.2024 N 80349) {КонсультантПлюс}">
        <w:r>
          <w:rPr>
            <w:sz w:val="24"/>
            <w:color w:val="0000ff"/>
          </w:rPr>
          <w:t xml:space="preserve">карта</w:t>
        </w:r>
      </w:hyperlink>
      <w:r>
        <w:rPr>
          <w:sz w:val="24"/>
        </w:rPr>
        <w:t xml:space="preserve"> &lt;6&gt; проведения мероприятий по основным направлениям комплексной реабилитации и абилитации инвалида и иная документация;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27" w:tooltip="Приказ Минтруда России от 02.09.2024 N 445н &quot;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&quot; (Зарегистрировано в Минюсте России 27.11.2024 N 80349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2 сентября 2024 г. N 445н "Об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инвалидов" (зарегистрирован Министерством юстиции Российской Федерации 27 ноября 2024 г., регистрационный N 80349).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реабилитационная организация не может отказать инвалиду в оказании мероприятий, входящих в состав услуги (социально-психологическая диагностики, информирования, консультирования, практических занятий, тренингов, просвещения), все мероприятия оказываются комплексно, за исключением отказа самого инвалида от того или иного мероприятия, входящего в состав услуги, или их объема;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продолжительность реабилитационных мероприятий, входящих в состав услуги, не может быть меньше минимального времени, указанного в стандарте (</w:t>
      </w:r>
      <w:hyperlink w:history="0" w:anchor="P403" w:tooltip="23. Показатели продолжительности реабилитационных мероприятий социально-психологической реабилитации и абилитации">
        <w:r>
          <w:rPr>
            <w:sz w:val="24"/>
            <w:color w:val="0000ff"/>
          </w:rPr>
          <w:t xml:space="preserve">пункт 23 Раздела VII</w:t>
        </w:r>
      </w:hyperlink>
      <w:r>
        <w:rPr>
          <w:sz w:val="24"/>
        </w:rPr>
        <w:t xml:space="preserve"> стандарта);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использовании реабилитационного оборудования и методов (технологий и методик) реабилитационная организация должна учитывать форму оказания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оказания услуги проводится оценка эффективности в соответствии с </w:t>
      </w:r>
      <w:hyperlink w:history="0" w:anchor="P1390" w:tooltip="Раздел X. Показатели качества и оценка результатов">
        <w:r>
          <w:rPr>
            <w:sz w:val="24"/>
            <w:color w:val="0000ff"/>
          </w:rPr>
          <w:t xml:space="preserve">Разделом X</w:t>
        </w:r>
      </w:hyperlink>
      <w:r>
        <w:rPr>
          <w:sz w:val="24"/>
        </w:rPr>
        <w:t xml:space="preserve">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инвалиду выдается заключение по итогам социально-психологической реабилитации и абилитации с рекомендациями;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инвалид вправе отказаться от того или иного мероприятия, входящего в состав услуги, или их объема.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При предоставлении услуги реабилитационная организация обеспечивает: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возможность использования ассистивных (вспомогательных) технологий и АДК;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возможность предоставления во временное пользование ТСР коллективного и индивидуального использования, в том числе предоставления кресла-коляски во временное пользование;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 инвалида, имеющего стойкие расстройства функции зрения (слепого) в сопровождении собаки-проводника (при наличии документа, подтверждающего ее специальное обучение) на территорию и объекты организации, а также к месту предоставления услуги, возможность размещения собаки-проводника в месте отдыха или ожидания собаки-проводника в часы получения инвалидом реабилитационных мероприятий (при необходимости и согласии инвалида);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условия доступности для инвалидов объектов социальной, инженерной и транспортной инфраструктуры и предоставляемого комплекса мероприятий и услуг по основным направлениям комплексной реабилитации и абилитации, а также оказания при необходимости помощи в соответствии со </w:t>
      </w:r>
      <w:hyperlink w:history="0" r:id="rId28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15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Реабилитационная организация предоставляет в доступной для получателей услуги форме, в том числе посредством размещения на своем сайте (при его наличии) и на информационных стендах (стойках), следующую информацию: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адрес юридического лица в пределах места нахождения юридического лица (территориально обособленного структурного подразделения юридического лица), основной государственный регистрационный номер и индивидуальный номер налогоплательщика;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об осуществляемой деятельности по оказанию услуги и целевой реабилитационной группе (целевым реабилитационным группам).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При размещении информации об услуге в информационно-телекоммуникационной сети "Интернет" должны быть учтены требования </w:t>
      </w:r>
      <w:hyperlink w:history="0" r:id="rId29" w:tooltip="&quot;ГОСТ Р 52872-2019. Национальный стандарт Российской Федерации. Интернет-ресурсы и другая информация, представленная в электронно-цифровой форме. Приложения для стационарных и мобильных устройств, иные пользовательские интерфейсы. Требования доступности для людей с инвалидностью и других лиц с ограничениями жизнедеятельности&quot; (утв. и введен в действие Приказом Росстандарта от 29.08.2019 N 589-ст) {КонсультантПлюс}">
        <w:r>
          <w:rPr>
            <w:sz w:val="24"/>
            <w:color w:val="0000ff"/>
          </w:rPr>
          <w:t xml:space="preserve">ГОСТ Р 52872-2019</w:t>
        </w:r>
      </w:hyperlink>
      <w:r>
        <w:rPr>
          <w:sz w:val="24"/>
        </w:rPr>
        <w:t xml:space="preserve"> "Национальный стандарт Российской Федерации. Интернет-ресурсы и другая информация, представленная в электронно-цифровой форме. Приложения для стационарных и мобильных устройств, иные пользовательские интерфейсы. Требования доступности для людей с инвалидностью и других лиц с ограничениями жизнедеятельности", введенного в действие </w:t>
      </w:r>
      <w:hyperlink w:history="0" r:id="rId30" w:tooltip="Приказ Росстандарта от 29.08.2019 N 589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29 августа 2019 г. N 589-ст (М.: Стандартинформ, 2019).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89" w:name="P189"/>
    <w:bookmarkEnd w:id="189"/>
    <w:p>
      <w:pPr>
        <w:pStyle w:val="2"/>
        <w:outlineLvl w:val="1"/>
        <w:jc w:val="center"/>
      </w:pPr>
      <w:r>
        <w:rPr>
          <w:sz w:val="24"/>
        </w:rPr>
        <w:t xml:space="preserve">Раздел IV. Перечень специалистов, привлекаемых к реализации</w:t>
      </w:r>
    </w:p>
    <w:p>
      <w:pPr>
        <w:pStyle w:val="2"/>
        <w:jc w:val="center"/>
      </w:pPr>
      <w:r>
        <w:rPr>
          <w:sz w:val="24"/>
        </w:rPr>
        <w:t xml:space="preserve">услуги, 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71"/>
        <w:gridCol w:w="3572"/>
        <w:gridCol w:w="3628"/>
      </w:tblGrid>
      <w:tr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Категория специалистов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 (профессии) </w:t>
            </w:r>
            <w:hyperlink w:history="0" w:anchor="P219" w:tooltip="&lt;7&gt; Перечень специалистов приведен с учетом положений приказа N 385н.">
              <w:r>
                <w:rPr>
                  <w:sz w:val="24"/>
                  <w:color w:val="0000ff"/>
                </w:rPr>
                <w:t xml:space="preserve">&lt;7&gt;</w:t>
              </w:r>
            </w:hyperlink>
          </w:p>
        </w:tc>
        <w:tc>
          <w:tcPr>
            <w:tcW w:w="36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Целевая аудитория</w:t>
            </w:r>
          </w:p>
        </w:tc>
      </w:tr>
      <w:tr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Обязательные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3628" w:type="dxa"/>
          </w:tcPr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Рекомендуемые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Логопед (афазиолог)</w:t>
            </w:r>
          </w:p>
        </w:tc>
        <w:tc>
          <w:tcPr>
            <w:tcW w:w="3628" w:type="dxa"/>
          </w:tcPr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12.7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12.9</w:t>
              </w:r>
            </w:hyperlink>
            <w:r>
              <w:rPr>
                <w:sz w:val="24"/>
              </w:rPr>
              <w:t xml:space="preserve">, </w:t>
            </w:r>
            <w:hyperlink w:history="0" w:anchor="P114" w:tooltip="ЦРГ 12.12 - инвалиды, получившие ранение (травму, контузию, увечье) или заболевание в связи с участием в боевых действиях, с последствиями поражения внутренних органов, в том числе с аномальными отверстиями пищеварительного, мочевыделительного, дыхательного трактов;">
              <w:r>
                <w:rPr>
                  <w:sz w:val="24"/>
                  <w:color w:val="0000ff"/>
                </w:rPr>
                <w:t xml:space="preserve">12.12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  <w:r>
              <w:rPr>
                <w:sz w:val="24"/>
              </w:rPr>
              <w:t xml:space="preserve">, </w:t>
            </w:r>
            <w:hyperlink w:history="0" w:anchor="P119" w:tooltip="ЦРГ 13.3 - инвалиды, получившие травму, ранение, контузию, увечье в связи с боевыми действиями, вследствие приобретенного отсутствия (ампутации) одной нижней конечности;">
              <w:r>
                <w:rPr>
                  <w:sz w:val="24"/>
                  <w:color w:val="0000ff"/>
                </w:rPr>
                <w:t xml:space="preserve">13.3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Врач-психотерапевт</w:t>
            </w:r>
          </w:p>
        </w:tc>
        <w:tc>
          <w:tcPr>
            <w:tcW w:w="3628" w:type="dxa"/>
          </w:tcPr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 -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Врач-сексолог</w:t>
            </w:r>
          </w:p>
        </w:tc>
        <w:tc>
          <w:tcPr>
            <w:tcW w:w="3628" w:type="dxa"/>
          </w:tcPr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 -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Врач-психиатр</w:t>
            </w:r>
          </w:p>
        </w:tc>
        <w:tc>
          <w:tcPr>
            <w:tcW w:w="3628" w:type="dxa"/>
          </w:tcPr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 -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ЦРГ </w:t>
            </w: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12.9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Тифлосурдопереводчик</w:t>
            </w:r>
          </w:p>
        </w:tc>
        <w:tc>
          <w:tcPr>
            <w:tcW w:w="3628" w:type="dxa"/>
          </w:tcPr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12.9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  <w:r>
              <w:rPr>
                <w:sz w:val="24"/>
              </w:rPr>
              <w:t xml:space="preserve">,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 при необходимости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219" w:name="P219"/>
    <w:bookmarkEnd w:id="21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Перечень специалистов приведен с учетом положений </w:t>
      </w:r>
      <w:hyperlink w:history="0" r:id="rId31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N 385н.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V. Перечень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2587"/>
        <w:gridCol w:w="1531"/>
        <w:gridCol w:w="1644"/>
        <w:gridCol w:w="2778"/>
      </w:tblGrid>
      <w:tr>
        <w:tc>
          <w:tcPr>
            <w:tcW w:w="5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53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Получатель мероприятия</w:t>
            </w:r>
          </w:p>
        </w:tc>
        <w:tc>
          <w:tcPr>
            <w:gridSpan w:val="2"/>
            <w:tcW w:w="44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реализующие мероприятие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обязательные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рекомендуемые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587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диагностика: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первичная (входящая);</w:t>
            </w:r>
          </w:p>
          <w:p>
            <w:pPr>
              <w:pStyle w:val="0"/>
            </w:pPr>
            <w:r>
              <w:rPr>
                <w:sz w:val="24"/>
              </w:rPr>
              <w:t xml:space="preserve">повторная (контрольная)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Логопед (афазиолог)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языка;</w:t>
            </w:r>
          </w:p>
          <w:p>
            <w:pPr>
              <w:pStyle w:val="0"/>
            </w:pPr>
            <w:r>
              <w:rPr>
                <w:sz w:val="24"/>
              </w:rPr>
              <w:t xml:space="preserve">тифлосурдопереводчик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587" w:type="dxa"/>
          </w:tcPr>
          <w:p>
            <w:pPr>
              <w:pStyle w:val="0"/>
            </w:pPr>
            <w:r>
              <w:rPr>
                <w:sz w:val="24"/>
              </w:rPr>
              <w:t xml:space="preserve">Информирование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Врач-психотерапевт;</w:t>
            </w:r>
          </w:p>
          <w:p>
            <w:pPr>
              <w:pStyle w:val="0"/>
            </w:pPr>
            <w:r>
              <w:rPr>
                <w:sz w:val="24"/>
              </w:rPr>
              <w:t xml:space="preserve">врач-психиатр;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языка;</w:t>
            </w:r>
          </w:p>
          <w:p>
            <w:pPr>
              <w:pStyle w:val="0"/>
            </w:pPr>
            <w:r>
              <w:rPr>
                <w:sz w:val="24"/>
              </w:rPr>
              <w:t xml:space="preserve">тифлосурдопереводчик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587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Психологическое консультирование:</w:t>
            </w:r>
          </w:p>
          <w:p>
            <w:pPr>
              <w:pStyle w:val="0"/>
            </w:pPr>
            <w:r>
              <w:rPr>
                <w:sz w:val="24"/>
              </w:rPr>
              <w:t xml:space="preserve">индивидуально-личностное;</w:t>
            </w:r>
          </w:p>
          <w:p>
            <w:pPr>
              <w:pStyle w:val="0"/>
            </w:pPr>
            <w:r>
              <w:rPr>
                <w:sz w:val="24"/>
              </w:rPr>
              <w:t xml:space="preserve">семейное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Врач-психотерапевт;</w:t>
            </w:r>
          </w:p>
          <w:p>
            <w:pPr>
              <w:pStyle w:val="0"/>
            </w:pPr>
            <w:r>
              <w:rPr>
                <w:sz w:val="24"/>
              </w:rPr>
              <w:t xml:space="preserve">врач-сексолог;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языка;</w:t>
            </w:r>
          </w:p>
          <w:p>
            <w:pPr>
              <w:pStyle w:val="0"/>
            </w:pPr>
            <w:r>
              <w:rPr>
                <w:sz w:val="24"/>
              </w:rPr>
              <w:t xml:space="preserve">тифлосурдопереводчик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587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Практические занятия (психологическая коррекция)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Логопед (афазиолог);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языка;</w:t>
            </w:r>
          </w:p>
          <w:p>
            <w:pPr>
              <w:pStyle w:val="0"/>
            </w:pPr>
            <w:r>
              <w:rPr>
                <w:sz w:val="24"/>
              </w:rPr>
              <w:t xml:space="preserve">тифлосурдопереводчик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587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Психологические тренинги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языка;</w:t>
            </w:r>
          </w:p>
          <w:p>
            <w:pPr>
              <w:pStyle w:val="0"/>
            </w:pPr>
            <w:r>
              <w:rPr>
                <w:sz w:val="24"/>
              </w:rPr>
              <w:t xml:space="preserve">тифлосурдопереводчик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587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Социально-психологическое просвещение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Врач-психотерапевт;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языка;</w:t>
            </w:r>
          </w:p>
          <w:p>
            <w:pPr>
              <w:pStyle w:val="0"/>
            </w:pPr>
            <w:r>
              <w:rPr>
                <w:sz w:val="24"/>
              </w:rPr>
              <w:t xml:space="preserve">тифлосурдопереводчик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VI. Содержание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24"/>
        <w:gridCol w:w="454"/>
        <w:gridCol w:w="6803"/>
        <w:gridCol w:w="2268"/>
      </w:tblGrid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gridSpan w:val="2"/>
            <w:tcW w:w="725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мероприятия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Формат реализации мероприятия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 первичная (входящая)</w:t>
            </w:r>
          </w:p>
        </w:tc>
        <w:tc>
          <w:tcPr>
            <w:gridSpan w:val="2"/>
            <w:tcW w:w="7257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анализ сведений по определению нуждаемости в мероприятиях социально-психологической реабилитации и абилитации в ИПРА инвалида;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беседа в целях сбора социально-психологического анамнеза инвалида (с учетом доступности для инвалида диалогового взаимодействия), в том числе опрос, анкетирование (при необходимости с использованием адаптированных бланков (отрицательная контрастность, увеличенный размер шрифта и другое), а также анкет в электронно-цифровом формате при наличии специализированной компьютерной программы, клавиатуры с рельефно-точечным шрифтом Брайля (с учетом возможностей остаточного зрения инвалида);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исследование психической деятельности и личностных особенностей инвалида, с целью выявления нарушений когнитивных функций, эмоционально-волевых, личностных, нейродинамических характеристик, образа тела, реабилитационной приверженности с помощью диагностических психологических методик (в том числе пато- и нейропсихологических и личностных тестов; при необходимости с использованием адаптированных форм диагностического материала, а также с опорой на сохранные анализаторы (тактильный, двигательный), остаточное зрение и (или) слух;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исследование психической деятельности и личностных особенностей инвалида, с целью выявления нарушений когнитивных функций, эмоционально-волевых, личностных, нейродинамических характеристик методами аппаратно-программной диагностики;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исследование общей моторики и тонкой дифференциации движений пальцев рук нейропсихологическими методиками;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исследование общей моторики и тонкой дифференциации движений пальцев рук методами аппаратно-программной диагностики;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исследование речевых функций (импрессивной и экспрессивной речи) у инвалида с помощью нейропсихологических методик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исследование речевых функций (импрессивной и экспрессивной речи) у инвалида при помощи логопедических методик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исследование коммуникативных навыков и навыков поведения в социуме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выявление симптомов посттравматических расстройств;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заключения по результатам первичной социально-психологической диагностики, которое должно содержать, в том числе: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Индивидуальный</w:t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оценку социально-психологического статуса инвалида с учетом выявленных индивидуально-психологических нарушений (сохранен (сформирован), нарушен, утрачен (не сформирован);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454" w:type="dxa"/>
            <w:tcBorders>
              <w:top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803" w:type="dxa"/>
            <w:tcBorders>
              <w:top w:val="nil"/>
              <w:left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разработку индивидуального плана (реабилитационного маршрута) социально-психологической реабилитации и абилитации инвалида с указанием объема конкретных мероприятий, их количества, а также потребности сопровождения реабилитационного курса услугами сурдоперевода и другое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Информирование</w:t>
            </w:r>
          </w:p>
        </w:tc>
        <w:tc>
          <w:tcPr>
            <w:gridSpan w:val="2"/>
            <w:tcW w:w="725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о цели, задачах, содержании мероприятий, ожидаемых результатах социально-психологической реабилитации и абилитации;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 особенностях психоэмоционального функционирования инвалида, обусловленных военной травмой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 способах построения оптимального взаимодействия с инвалидом (поиск компромиссного поведения, формирование толерантного (благожелательного, принимающего) отношения, инициация общения и другое)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 средствах и методах психологической поддержки инвалидов, в том числе о деятельности служб поддержки и экстренной психологической помощи посредством информационно-телекоммуникационной сети "Интернет" (чат-боты психологической поддержки; сайты и страницы в социальных сетях общественных организаций инвалидов и реабилитационных организаций, оказывающих услугу по социально-психологической реабилитации), а также "телефонов доверия" экстренной психологической помощи;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 организациях, реализующих мероприятия социально-психологической реабилитации и абилитации;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 различных аспектах социально-психологической реабилитации и абилитации, в том числе по запросу инвалида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С, ПС - индивидуальный, групповой;</w:t>
            </w:r>
          </w:p>
          <w:p>
            <w:pPr>
              <w:pStyle w:val="0"/>
            </w:pPr>
            <w:r>
              <w:rPr>
                <w:sz w:val="24"/>
              </w:rPr>
              <w:t xml:space="preserve">на дому - индивидуальный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Психологическое консультирование</w:t>
            </w:r>
          </w:p>
        </w:tc>
        <w:tc>
          <w:tcPr>
            <w:gridSpan w:val="2"/>
            <w:tcW w:w="725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Индивидуально-личностное психологическое консультирование, направленное на проработку и решение обусловленных полученной военной травмой и инвалидностью проблем, включая: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коррекцию самосознания, в том числе внутренней картины болезни и инвалидности (формирование гармоничного типа отношения к болезни с целью психологической адаптации к заболеванию и инвалидности);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копинг-компетентности и коррекцию мотивационной, ценностно-смысловой сфер, уровня самооценки, обеспечивающих реабилитационную приверженность личности к активному участию в бытовой, образовательной, производственной, межличностной, культурно-досуговой, а также здоровьесберегающей деятельности и другое;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гармонизацию психоэмоциональной сферы, включая коррекцию психогенных реакций, сопровождающих травматическое расстройство (тревога, страх, гнев, агрессия (аутоагрессия) и другие);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проработку актуальных негативных переживаний (тревога, сниженный фон настроения, гнев и другое) и психоэмоционального напряжения, сопровождающих полученную травму и инвалидность;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проработку глубинных переживаний (обида, одиночество (изоляция), потеря самоэффективности, потеря близких боевых товарищей, чувство вины выжившего, идентификация себя с убитыми, последствия пребывания в плену и другое);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работу с негативными внутриличностными изменениями (изменение иерархии ценностей, временной направленности, трансформации "Я"-образа, преодоление неадекватных механизмов психологической защиты);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снятие или снижение остроты и интенсивности травматических переживаний;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поиск внешних и внутренних ресурсов для повышения функциональности и реабилитационной приверженности личности к социальному восстановлению;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восстановление целостности временной протяженности жизненной перспективы (прошлого - настоящего - будущего, с акцентом на формирование позитивной перспективы будущего);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восстановление, обретение нового смысла жизни;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работу с переживаниями инвалида по поводу изменения состояния здоровья и изменений внешности (при наличии беспокоящих инвалида внешних дефектов);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трансформацию "Я"-физического образа (принятие посттравматических изменений в теле, на лице);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психологическую подготовку к повторным хирургическим операциям, протезированию, в том числе слухопротезированию и так далее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восстановление, формирование социальных позиций (ролей) инвалида, искаженных полученной травмой и инвалидностью (профессиональной, семейной, супружеской и других);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устранение проявлений агрессивного (аутоагрессивного) и деструктивного поведения, включая обучение методам самоконтроля;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трансформация негативных представлений о себе и об окружающем мире в адекватно-позитивные;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профилактику суицидального, аддиктивного поведения и другое</w:t>
            </w:r>
          </w:p>
        </w:tc>
        <w:tc>
          <w:tcPr>
            <w:tcW w:w="226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С, ПС - индивидуальный, групповой;</w:t>
            </w:r>
          </w:p>
          <w:p>
            <w:pPr>
              <w:pStyle w:val="0"/>
            </w:pPr>
            <w:r>
              <w:rPr>
                <w:sz w:val="24"/>
              </w:rPr>
              <w:t xml:space="preserve">на дому - индивидуальный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725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Семейное консультирование, целью которого является решение: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проблем супружеских отношений, в том числе сексуальной дисгармонии (гармонизация супружеского взаимодействия), родительско-детских отношений и другое;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внутрисемейных проблем (в частности, гармонизация взаимоотношений, минимизация эмоциональной изоляции, установление адекватной коммуникации, оптимизация установок семьи на будущее, профилактика кризисных ситуаций в семье) и другое</w:t>
            </w:r>
          </w:p>
        </w:tc>
        <w:tc>
          <w:tcPr>
            <w:tcW w:w="226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Практические занятия (психологическая коррекция)</w:t>
            </w:r>
          </w:p>
        </w:tc>
        <w:tc>
          <w:tcPr>
            <w:gridSpan w:val="2"/>
            <w:tcW w:w="725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коррекция нарушений психоэмоциональной сферы психотерапевтическими методами;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коррекция нарушений психоэмоциональной сферы аппаратно-программными методами;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преодоление неадекватных стереотипов реагирования на непредвиденные и стрессовые ситуации, а также обучение адекватным стереотипам реагирования;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совладанию с реакциями на течение и последствия ранения, военной травмы, в целом;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коррекция психогенных реакций, сопровождающих травматическое расстройство (тревога, страх, гнев, агрессия и другое);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коррекция агрессивного (аутоагрессивного) и деструктивного поведения, включая обучение методам самокоррекции;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восстановление функции самоконтроля и саморегуляции;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снижение и профилактика психоэмоционального напряжения инвалида, которое выражается в социально неприемлемых действиях, посредством замещения их на социально приемлемые (фото-арт-терапия, библиотерапия и другие);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коррекция коммуникативного поведения различными психотерапевтическими методами, а также освоение конструктивных способов разрешения конфликтов (в том числе с целью преодоления и профилактики возникновения межличностных конфликтов);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навыков эффективной коммуникации при межличностном взаимодействии инвалида с представителями социума;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у инвалида понятия о личных, в том числе телесных, границах (собственных, других людей) в целях безопасности и эффективности при межличностном взаимодействии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коррекция нарушений или восстановление когнитивных функций посредством нейрокоррекционных методик, а также с использованием аппаратно-программных методов с опорой на сохранные анализаторы (слуховой, тактильный, двигательный), с учетом возможностей остаточного зрения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коррекция нарушений соматогнозиса, пространственных представлений с учетом возможностей остаточного зрения, а также с опорой на сохранные анализаторы (слуховой, тактильный, двигательный);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развитие, восстановление тонкой дифференциации движений пальцев рук, в том числе аппаратно-программными методами;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восстановление речевых функций посредством логопедических занятий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активизация и развитие творческих способностей и творческого потенциала инвалида средствами арт-терапии, музыкотерапии и так далее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С, ПС - индивидуальный, групповой;</w:t>
            </w:r>
          </w:p>
          <w:p>
            <w:pPr>
              <w:pStyle w:val="0"/>
            </w:pPr>
            <w:r>
              <w:rPr>
                <w:sz w:val="24"/>
              </w:rPr>
              <w:t xml:space="preserve">на дому - индивидуальный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Психологические тренинги</w:t>
            </w:r>
          </w:p>
        </w:tc>
        <w:tc>
          <w:tcPr>
            <w:gridSpan w:val="2"/>
            <w:tcW w:w="725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поддержание сохранных компонентов личности, а также развитие личностных качеств у инвалида (повышение стрессоустойчивости, уверенности в себе, снижение агрессивности, тревожности и другое);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навыкам эффективной коммуникации при межличностном взаимодействии инвалида с представителями социума;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конструктивным способам разрешения конфликтов (преодоление и профилактика возникновения межличностных конфликтов);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навыков преодоления неадекватных стереотипов реагирования на непредвиденные и стрессовые ситуации, а также обучение адекватным стереотипам реагирования;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эффективным способам выхода из кризисных ситуаций и повышение уровня психологической защищенности с целью профилактики девиантного, суицидального, аддиктивного поведения и другое;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техникам эмоциональной саморегуляции (мобилизации, релаксации) (дифференциация эмоций, осознавание собственного эмоционального состояния и овладение техниками его нормализации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восстановление (обучение) навыков безопасного и эффективного межличностного взаимодействия с учетом соблюдения личных (физических) границ (при необходимости) и другое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С, ПС - групповой;</w:t>
            </w:r>
          </w:p>
          <w:p>
            <w:pPr>
              <w:pStyle w:val="0"/>
            </w:pPr>
            <w:r>
              <w:rPr>
                <w:sz w:val="24"/>
              </w:rPr>
              <w:t xml:space="preserve">на дому - индивидуальный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Социально-психологическое просвещение</w:t>
            </w:r>
          </w:p>
        </w:tc>
        <w:tc>
          <w:tcPr>
            <w:gridSpan w:val="2"/>
            <w:tcW w:w="725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Социально-психологическое просвещение инвалида и (или) члена семьи посредством повышения психологической грамотности и социально-психологической компетенции, а также формирование потребности (мотивации) использовать эти знания в работе над собой и различными проблемами социально-психологического характера и другое, в том числе с использованием раздаточного материала, вебинаров, лекций, включает: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саморазвитие, формирование реабилитационной приверженности, повышение мотивации инвалида к ведению здорового образа жизни, в том числе посредством знакомства с биографией людей с инвалидностью, достигнувших высоких результатов в различных сферах культурной, общественной, спортивной, трудовой жизни и так далее (с учетом сенсорной доступности материала инвалиду);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информирование о возможностях и обучение навыкам активного участия в различных сферах социальных взаимодействий (быт, общение, учеба, трудоустройство, спортивная, культурно-досуговая самореализация и другое);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просвещение члена семьи о важности поддержания собственного психологического благополучия и качества жизни (чувство ценности собственной жизни, важность удовлетворения собственных потребностей, решение собственных психоэмоциональных проблем в противовес фокусировки активности только на заботе о болеющем члене семьи и другое) (при необходимости)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С, ПС - индивидуальный, групповой;</w:t>
            </w:r>
          </w:p>
          <w:p>
            <w:pPr>
              <w:pStyle w:val="0"/>
            </w:pPr>
            <w:r>
              <w:rPr>
                <w:sz w:val="24"/>
              </w:rPr>
              <w:t xml:space="preserve">на дому - индивидуальный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232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 повторная (контрольная)</w:t>
            </w:r>
          </w:p>
        </w:tc>
        <w:tc>
          <w:tcPr>
            <w:gridSpan w:val="2"/>
            <w:tcW w:w="7257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анкетирование и опрос инвалида, в том числе с целью определения уровня удовлетворенности качеством реализованных реабилитационных мероприятий социально-психологической реабилитации и абилитации;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психологического обследования для оценки уровня развития ВПФ, состояния психоэмоциональной сферы, степени сформированности коммуникативных навыков, эмоционального интеллекта инвалида и другое, с учетом принципа комплексности (всесторонности) обследования, при необходимости с использованием адаптированных форм диагностического материала, а также с опорой на сохранные анализаторы (тактильный, двигательный), остаточное зрение и (или) слух: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Индивидуальный</w:t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исследование психической деятельности и личностных особенностей инвалида, с целью выявления нарушений когнитивных функций, эмоционально-волевых, личностных, нейродинамических характеристик, образа тела, реабилитационной приверженности с помощью пато- и нейропсихологических, а также личностных методик (опросники, тесты);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исследование психической деятельности и личностных особенностей инвалида, с целью выявления нарушений когнитивных функций, эмоционально-волевых, личностных, нейродинамических характеристик методами аппаратно-программной диагностики;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исследование общей моторики и тонкой дифференциации движений пальцев рук нейропсихологическими методиками;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исследование общей моторики и тонкой дифференциации движений пальцев рук методами аппаратно-программной диагностики;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исследование речевых функций (импрессивной и экспрессивной речи) у инвалида с помощью нейропсихологических методик (при необходимости);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исследование речевых функций (импрессивной и экспрессивной речи) у инвалида при помощи логопедических методик (при необходимости);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исследование коммуникативных навыков и навыков поведения в социуме (при необходимости);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gridSpan w:val="2"/>
            <w:tcW w:w="7257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заключения по результатам повторной (контрольной) социально-психологической диагностики инвалида, которое должно содержать: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оценку социально-психологического статуса инвалида с учетом выявленных индивидуально-психологических нарушений (сохранен (сформирован), нарушен, утрачен (не сформирован);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оценку эффективности проведенного курса социально-психологической реабилитации (на основании анализа динамики количественных и качественных психологических показателей);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рекомендации по дальнейшей социально-психологической реабилитации и абилитации (нуждается - не нуждается);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454" w:type="dxa"/>
            <w:tcBorders>
              <w:top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6803" w:type="dxa"/>
            <w:tcBorders>
              <w:top w:val="nil"/>
              <w:left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оценку удовлетворенности инвалида реализованными мероприятиями социально-психологической реабилитации и абилитации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VII. Показатели продолжительности и кратности</w:t>
      </w:r>
    </w:p>
    <w:p>
      <w:pPr>
        <w:pStyle w:val="2"/>
        <w:jc w:val="center"/>
      </w:pPr>
      <w:r>
        <w:rPr>
          <w:sz w:val="24"/>
        </w:rPr>
        <w:t xml:space="preserve">предоставления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403" w:name="P403"/>
    <w:bookmarkEnd w:id="403"/>
    <w:p>
      <w:pPr>
        <w:pStyle w:val="2"/>
        <w:outlineLvl w:val="2"/>
        <w:jc w:val="both"/>
      </w:pPr>
      <w:r>
        <w:rPr>
          <w:sz w:val="24"/>
        </w:rPr>
        <w:t xml:space="preserve">23. Показатели продолжительности реабилитационных мероприятий социально-психологической реабилитации и абилитации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4705"/>
        <w:gridCol w:w="3742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47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реабилитационного мероприятия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Минимальная продолжительность 1 мероприятия, час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4705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 первичная (входящая) и повторная (контрольная)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4705" w:type="dxa"/>
          </w:tcPr>
          <w:p>
            <w:pPr>
              <w:pStyle w:val="0"/>
            </w:pPr>
            <w:r>
              <w:rPr>
                <w:sz w:val="24"/>
              </w:rPr>
              <w:t xml:space="preserve">Информирование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0,5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4705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Психологическое консультирование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1,0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4705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Практические занятия (психологическая коррекция)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0,75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4705" w:type="dxa"/>
          </w:tcPr>
          <w:p>
            <w:pPr>
              <w:pStyle w:val="0"/>
            </w:pPr>
            <w:r>
              <w:rPr>
                <w:sz w:val="24"/>
              </w:rPr>
              <w:t xml:space="preserve">Тренинги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1,5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4705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Социально-психологическое просвещение</w:t>
            </w:r>
          </w:p>
        </w:tc>
        <w:tc>
          <w:tcPr>
            <w:tcW w:w="37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0,75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bookmarkStart w:id="427" w:name="P427"/>
    <w:bookmarkEnd w:id="427"/>
    <w:p>
      <w:pPr>
        <w:pStyle w:val="2"/>
        <w:outlineLvl w:val="2"/>
        <w:jc w:val="both"/>
      </w:pPr>
      <w:r>
        <w:rPr>
          <w:sz w:val="24"/>
        </w:rPr>
        <w:t xml:space="preserve">24. Показатели кратности реабилитационных мероприятий социально-психологической реабилитации и абилитации в соответствии с ЦРГ инвалида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1474"/>
        <w:gridCol w:w="850"/>
        <w:gridCol w:w="1191"/>
        <w:gridCol w:w="1474"/>
        <w:gridCol w:w="1077"/>
        <w:gridCol w:w="964"/>
        <w:gridCol w:w="1303"/>
      </w:tblGrid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</w:t>
            </w:r>
          </w:p>
        </w:tc>
        <w:tc>
          <w:tcPr>
            <w:gridSpan w:val="6"/>
            <w:tcW w:w="70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диапазонный показатель количества мероприятий по социально-психологической реабилитации и абилитации</w:t>
            </w:r>
          </w:p>
        </w:tc>
        <w:tc>
          <w:tcPr>
            <w:tcW w:w="130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Социально-психологическая диагностика (константа)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Информирование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Психологическое консультирование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Практические занятия (психологическая коррекция)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Тренинги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Социально-психологическое просвещение</w:t>
            </w:r>
          </w:p>
        </w:tc>
        <w:tc>
          <w:tcPr>
            <w:vMerge w:val="continue"/>
          </w:tcPr>
          <w:p/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12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3 - 20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14 - 40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03" w:tooltip="ЦРГ 12.1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дной верхней конечности;">
              <w:r>
                <w:rPr>
                  <w:sz w:val="24"/>
                  <w:color w:val="0000ff"/>
                </w:rPr>
                <w:t xml:space="preserve">12.1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14 - 40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04" w:tooltip="ЦРГ 12.2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12.2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14 - 40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05" w:tooltip="ЦРГ 12.3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дной нижней конечности;">
              <w:r>
                <w:rPr>
                  <w:sz w:val="24"/>
                  <w:color w:val="0000ff"/>
                </w:rPr>
                <w:t xml:space="preserve">12.3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3 - 20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14 - 40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06" w:tooltip="ЦРГ 12.4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нижних конечностей;">
              <w:r>
                <w:rPr>
                  <w:sz w:val="24"/>
                  <w:color w:val="0000ff"/>
                </w:rPr>
                <w:t xml:space="preserve">12.4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3 - 20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14 - 40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07" w:tooltip="ЦРГ 12.5 - инвалиды, получившие ранение (травму, контузию, увечье) или заболевание в связи с участием в боевых действиях, с последствиями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12.5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3 - 20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14 - 40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08" w:tooltip="ЦРГ 12.6 - инвалиды, получившие ранение (травму, контузию, увечье) или заболевание в связи с участием в боевых действиях, с последствиями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12.6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14 - 40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09" w:tooltip="ЦРГ 12.7 - инвалиды, получившие ранение (травму, контузию, увечье) или заболевание в связи с участием в боевых действиях, с последствиями поражения периферической нервной системы;">
              <w:r>
                <w:rPr>
                  <w:sz w:val="24"/>
                  <w:color w:val="0000ff"/>
                </w:rPr>
                <w:t xml:space="preserve">12.7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14 - 40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14 - 40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12.9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14 - 40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3 - 20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14 - 40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14 - 40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14" w:tooltip="ЦРГ 12.12 - инвалиды, получившие ранение (травму, контузию, увечье) или заболевание в связи с участием в боевых действиях, с последствиями поражения внутренних органов, в том числе с аномальными отверстиями пищеварительного, мочевыделительного, дыхательного трактов;">
              <w:r>
                <w:rPr>
                  <w:sz w:val="24"/>
                  <w:color w:val="0000ff"/>
                </w:rPr>
                <w:t xml:space="preserve">12.12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14 - 40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14 - 40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3 - 10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17" w:tooltip="ЦРГ 13.1 - инвалиды, получившие травму, ранение, контузию, увечье в связи с боевыми действиями, вследствие приобретенного отсутствия (ампутации) одной верхней конечности;">
              <w:r>
                <w:rPr>
                  <w:sz w:val="24"/>
                  <w:color w:val="0000ff"/>
                </w:rPr>
                <w:t xml:space="preserve">13.1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18" w:tooltip="ЦРГ 13.2 - инвалиды, получившие травму, ранение, контузию, увечье в связи с боевыми действиями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13.2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19" w:tooltip="ЦРГ 13.3 - инвалиды, получившие травму, ранение, контузию, увечье в связи с боевыми действиями, вследствие приобретенного отсутствия (ампутации) одной нижней конечности;">
              <w:r>
                <w:rPr>
                  <w:sz w:val="24"/>
                  <w:color w:val="0000ff"/>
                </w:rPr>
                <w:t xml:space="preserve">13.3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3 - 10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20" w:tooltip="ЦРГ 13.4 - инвалиды, получившие травму, ранение, контузию, увечье в связи с боевыми действиями, вследствие приобретенного отсутствия обеих нижних конечностей;">
              <w:r>
                <w:rPr>
                  <w:sz w:val="24"/>
                  <w:color w:val="0000ff"/>
                </w:rPr>
                <w:t xml:space="preserve">13.4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3 - 10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21" w:tooltip="ЦРГ 13.5 - инвалиды, получившие травму, ранение, контузию, увечье в связи с боевыми действиями, вследствие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13.5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3 - 10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22" w:tooltip="ЦРГ 13.6 - инвалиды, получившие травму, ранение, контузию, увечье в связи с боевыми действиями, вследствие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13.6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23" w:tooltip="ЦРГ 13.7 - инвалиды, получившие травму, ранение, контузию, увечье в связи с боевыми действиями, вследствие поражения периферической нервной системы;">
              <w:r>
                <w:rPr>
                  <w:sz w:val="24"/>
                  <w:color w:val="0000ff"/>
                </w:rPr>
                <w:t xml:space="preserve">13.7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3 - 10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28" w:tooltip="ЦРГ 13.12 - инвалиды, получившие травму, ранение, контузию, увечье в связи с боевыми действиями, вследствие поражения внутренних органов, в том числе с аномальными отверстиями пищеварительного, мочевыделительного, дыхательного трактов;">
              <w:r>
                <w:rPr>
                  <w:sz w:val="24"/>
                  <w:color w:val="0000ff"/>
                </w:rPr>
                <w:t xml:space="preserve">13.12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25 - 35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4 - 15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14 - 35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bookmarkStart w:id="663" w:name="P663"/>
    <w:bookmarkEnd w:id="663"/>
    <w:p>
      <w:pPr>
        <w:pStyle w:val="2"/>
        <w:outlineLvl w:val="1"/>
        <w:jc w:val="center"/>
      </w:pPr>
      <w:r>
        <w:rPr>
          <w:sz w:val="24"/>
        </w:rPr>
        <w:t xml:space="preserve">Раздел VIII. Примерный перечень необходимого</w:t>
      </w:r>
    </w:p>
    <w:p>
      <w:pPr>
        <w:pStyle w:val="2"/>
        <w:jc w:val="center"/>
      </w:pPr>
      <w:r>
        <w:rPr>
          <w:sz w:val="24"/>
        </w:rPr>
        <w:t xml:space="preserve">реабилитационного оборудования (вспомогательных средств</w:t>
      </w:r>
    </w:p>
    <w:p>
      <w:pPr>
        <w:pStyle w:val="2"/>
        <w:jc w:val="center"/>
      </w:pPr>
      <w:r>
        <w:rPr>
          <w:sz w:val="24"/>
        </w:rPr>
        <w:t xml:space="preserve">и технических средств реабилитации), которым должна быть</w:t>
      </w:r>
    </w:p>
    <w:p>
      <w:pPr>
        <w:pStyle w:val="2"/>
        <w:jc w:val="center"/>
      </w:pPr>
      <w:r>
        <w:rPr>
          <w:sz w:val="24"/>
        </w:rPr>
        <w:t xml:space="preserve">оснащена реабилитационная организация для оказания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3175"/>
        <w:gridCol w:w="1247"/>
        <w:gridCol w:w="3118"/>
        <w:gridCol w:w="850"/>
        <w:gridCol w:w="850"/>
        <w:gridCol w:w="3798"/>
      </w:tblGrid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17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реабилитационного оборудования </w:t>
            </w:r>
            <w:hyperlink w:history="0" w:anchor="P946" w:tooltip="&lt;8&gt; Наименование реабилитационного оборудования (вспомогательных средств и технических средств реабилитации) приведены с учетом положений приказа N 385н.">
              <w:r>
                <w:rPr>
                  <w:sz w:val="24"/>
                  <w:color w:val="0000ff"/>
                </w:rPr>
                <w:t xml:space="preserve">&lt;8&gt;</w:t>
              </w:r>
            </w:hyperlink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группы/подкласса </w:t>
            </w:r>
            <w:hyperlink w:history="0" w:anchor="P947" w:tooltip="&lt;9&gt; Код группы или подкласса вспомогательных средств и технических средств реабилитации приведен в соответствии с кодом, указанным в ГОСТ-9999.">
              <w:r>
                <w:rPr>
                  <w:sz w:val="24"/>
                  <w:color w:val="0000ff"/>
                </w:rPr>
                <w:t xml:space="preserve">&lt;9&gt;</w:t>
              </w:r>
            </w:hyperlink>
          </w:p>
        </w:tc>
        <w:tc>
          <w:tcPr>
            <w:tcW w:w="311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вспомогательных средств и ТСР</w:t>
            </w:r>
          </w:p>
        </w:tc>
        <w:tc>
          <w:tcPr>
            <w:gridSpan w:val="2"/>
            <w:tcW w:w="170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предоставления услуги</w:t>
            </w:r>
          </w:p>
        </w:tc>
        <w:tc>
          <w:tcPr>
            <w:tcW w:w="379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Примечание (цели, ЦРГ)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С, ПС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дому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175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Средства для тестирования и оценки психических функций организма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hyperlink w:history="0" r:id="rId34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04 25 06</w:t>
              </w:r>
            </w:hyperlink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Наборы диагностических методик, диагностические пособия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диагностики: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Аппаратно-программные комплексы с программами тестирования психической и двигательной сферы человека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диагностики: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4" w:tooltip="ЦРГ 12.12 - инвалиды, получившие ранение (травму, контузию, увечье) или заболевание в связи с участием в боевых действиях, с последствиями поражения внутренних органов, в том числе с аномальными отверстиями пищеварительного, мочевыделительного, дыхательного трактов;">
              <w:r>
                <w:rPr>
                  <w:sz w:val="24"/>
                  <w:color w:val="0000ff"/>
                </w:rPr>
                <w:t xml:space="preserve">12.12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  <w:r>
              <w:rPr>
                <w:sz w:val="24"/>
              </w:rPr>
              <w:t xml:space="preserve"> -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8" w:tooltip="ЦРГ 13.12 - инвалиды, получившие травму, ранение, контузию, увечье в связи с боевыми действиями, вследствие поражения внутренних органов, в том числе с аномальными отверстиями пищеварительного, мочевыделительного, дыхательного трактов;">
              <w:r>
                <w:rPr>
                  <w:sz w:val="24"/>
                  <w:color w:val="0000ff"/>
                </w:rPr>
                <w:t xml:space="preserve">13.12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 (с опорой на остаточные возможности анализаторов)</w:t>
            </w:r>
          </w:p>
        </w:tc>
      </w:tr>
      <w:tr>
        <w:tc>
          <w:tcPr>
            <w:tcW w:w="56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175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тренинга когнитивных (познавательных) навыков</w:t>
            </w:r>
          </w:p>
        </w:tc>
        <w:tc>
          <w:tcPr>
            <w:tcW w:w="1247" w:type="dxa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hyperlink w:history="0" r:id="rId35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05 12</w:t>
              </w:r>
            </w:hyperlink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тренировки памяти </w:t>
            </w:r>
            <w:hyperlink w:history="0" r:id="rId36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(05 12 03)</w:t>
              </w:r>
            </w:hyperlink>
            <w:r>
              <w:rPr>
                <w:sz w:val="24"/>
              </w:rPr>
              <w:t xml:space="preserve"> </w:t>
            </w:r>
            <w:hyperlink w:history="0" w:anchor="P948" w:tooltip="&lt;10&gt; Наименование вспомогательных средств и код подкласса приведены в соответствии с ГОСТ-9999.">
              <w:r>
                <w:rPr>
                  <w:sz w:val="24"/>
                  <w:color w:val="0000ff"/>
                </w:rPr>
                <w:t xml:space="preserve">&lt;10&gt;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</w:pPr>
            <w:r>
              <w:rPr>
                <w:sz w:val="24"/>
              </w:rPr>
              <w:t xml:space="preserve">комплексы упражнений для развития и тренировки памяти (в том числе в формате компьютерных программ);</w:t>
            </w:r>
          </w:p>
          <w:p>
            <w:pPr>
              <w:pStyle w:val="0"/>
            </w:pPr>
            <w:r>
              <w:rPr>
                <w:sz w:val="24"/>
              </w:rPr>
              <w:t xml:space="preserve">методики улучшения памяти (по типу таблиц Шульте с адаптированными под цели улучшения памяти инструкциями, мнемотехнические техники, игры для развития памяти);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онлайн-игры и приложения для смартфона</w:t>
            </w:r>
          </w:p>
        </w:tc>
        <w:tc>
          <w:tcPr>
            <w:tcW w:w="850" w:type="dxa"/>
            <w:vAlign w:val="center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4" w:tooltip="ЦРГ 12.12 - инвалиды, получившие ранение (травму, контузию, увечье) или заболевание в связи с участием в боевых действиях, с последствиями поражения внутренних органов, в том числе с аномальными отверстиями пищеварительного, мочевыделительного, дыхательного трактов;">
              <w:r>
                <w:rPr>
                  <w:sz w:val="24"/>
                  <w:color w:val="0000ff"/>
                </w:rPr>
                <w:t xml:space="preserve">12.12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  <w:r>
              <w:rPr>
                <w:sz w:val="24"/>
              </w:rPr>
              <w:t xml:space="preserve"> -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8" w:tooltip="ЦРГ 13.12 - инвалиды, получившие травму, ранение, контузию, увечье в связи с боевыми действиями, вследствие поражения внутренних органов, в том числе с аномальными отверстиями пищеварительного, мочевыделительного, дыхательного трактов;">
              <w:r>
                <w:rPr>
                  <w:sz w:val="24"/>
                  <w:color w:val="0000ff"/>
                </w:rPr>
                <w:t xml:space="preserve">13.12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обучения последовательности действий </w:t>
            </w:r>
            <w:hyperlink w:history="0" r:id="rId37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(05 12 06)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</w:pPr>
            <w:r>
              <w:rPr>
                <w:sz w:val="24"/>
              </w:rPr>
              <w:t xml:space="preserve">настольные игры;</w:t>
            </w:r>
          </w:p>
          <w:p>
            <w:pPr>
              <w:pStyle w:val="0"/>
            </w:pPr>
            <w:r>
              <w:rPr>
                <w:sz w:val="24"/>
              </w:rPr>
              <w:t xml:space="preserve">нейропсихологический карточные игры для восстановления серийной организации движений;</w:t>
            </w:r>
          </w:p>
          <w:p>
            <w:pPr>
              <w:pStyle w:val="0"/>
            </w:pPr>
            <w:r>
              <w:rPr>
                <w:sz w:val="24"/>
              </w:rPr>
              <w:t xml:space="preserve">методика "Последовательность картинок" (Х. Бидструпа);</w:t>
            </w:r>
          </w:p>
          <w:p>
            <w:pPr>
              <w:pStyle w:val="0"/>
            </w:pPr>
            <w:r>
              <w:rPr>
                <w:sz w:val="24"/>
              </w:rPr>
              <w:t xml:space="preserve">домино тематики последовательности действий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4" w:tooltip="ЦРГ 12.12 - инвалиды, получившие ранение (травму, контузию, увечье) или заболевание в связи с участием в боевых действиях, с последствиями поражения внутренних органов, в том числе с аномальными отверстиями пищеварительного, мочевыделительного, дыхательного трактов;">
              <w:r>
                <w:rPr>
                  <w:sz w:val="24"/>
                  <w:color w:val="0000ff"/>
                </w:rPr>
                <w:t xml:space="preserve">12.12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  <w:r>
              <w:rPr>
                <w:sz w:val="24"/>
              </w:rPr>
              <w:t xml:space="preserve"> -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8" w:tooltip="ЦРГ 13.12 - инвалиды, получившие травму, ранение, контузию, увечье в связи с боевыми действиями, вследствие поражения внутренних органов, в том числе с аномальными отверстиями пищеварительного, мочевыделительного, дыхательного трактов;">
              <w:r>
                <w:rPr>
                  <w:sz w:val="24"/>
                  <w:color w:val="0000ff"/>
                </w:rPr>
                <w:t xml:space="preserve">13.12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тренировки внимания </w:t>
            </w:r>
            <w:hyperlink w:history="0" r:id="rId38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(05 12 09)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</w:pPr>
            <w:r>
              <w:rPr>
                <w:sz w:val="24"/>
              </w:rPr>
              <w:t xml:space="preserve">развивающие комплекты для развития внимания;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тренажеры для развития внимания;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головоломки, настольные игры для развития внимания;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различные лото, домино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4" w:tooltip="ЦРГ 12.12 - инвалиды, получившие ранение (травму, контузию, увечье) или заболевание в связи с участием в боевых действиях, с последствиями поражения внутренних органов, в том числе с аномальными отверстиями пищеварительного, мочевыделительного, дыхательного трактов;">
              <w:r>
                <w:rPr>
                  <w:sz w:val="24"/>
                  <w:color w:val="0000ff"/>
                </w:rPr>
                <w:t xml:space="preserve">12.12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  <w:r>
              <w:rPr>
                <w:sz w:val="24"/>
              </w:rPr>
              <w:t xml:space="preserve"> -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8" w:tooltip="ЦРГ 13.12 - инвалиды, получившие травму, ранение, контузию, увечье в связи с боевыми действиями, вследствие поражения внутренних органов, в том числе с аномальными отверстиями пищеварительного, мочевыделительного, дыхательного трактов;">
              <w:r>
                <w:rPr>
                  <w:sz w:val="24"/>
                  <w:color w:val="0000ff"/>
                </w:rPr>
                <w:t xml:space="preserve">13.12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тренировки внимания </w:t>
            </w:r>
            <w:hyperlink w:history="0" r:id="rId39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(05 12 09)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</w:pPr>
            <w:r>
              <w:rPr>
                <w:sz w:val="24"/>
              </w:rPr>
              <w:t xml:space="preserve">адаптированные настольные игры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75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4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обучения навыкам умозрительного восприятия </w:t>
            </w:r>
            <w:hyperlink w:history="0" r:id="rId40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(05 12 12)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</w:pPr>
            <w:r>
              <w:rPr>
                <w:sz w:val="24"/>
              </w:rPr>
              <w:t xml:space="preserve">развивающие комплекты;</w:t>
            </w:r>
          </w:p>
          <w:p>
            <w:pPr>
              <w:pStyle w:val="0"/>
            </w:pPr>
            <w:r>
              <w:rPr>
                <w:sz w:val="24"/>
              </w:rPr>
              <w:t xml:space="preserve">игры, требующие навыка описания предметов и действий по существенным признакам;</w:t>
            </w:r>
          </w:p>
          <w:p>
            <w:pPr>
              <w:pStyle w:val="0"/>
            </w:pPr>
            <w:r>
              <w:rPr>
                <w:sz w:val="24"/>
              </w:rPr>
              <w:t xml:space="preserve">наборы карточек для развития логики</w:t>
            </w:r>
          </w:p>
        </w:tc>
        <w:tc>
          <w:tcPr>
            <w:tcW w:w="850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-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обучения способности классифицировать </w:t>
            </w:r>
            <w:hyperlink w:history="0" r:id="rId41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(05 12 15)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</w:pPr>
            <w:r>
              <w:rPr>
                <w:sz w:val="24"/>
              </w:rPr>
              <w:t xml:space="preserve">комплекты упражнений на развитие умения классифицировать;</w:t>
            </w:r>
          </w:p>
          <w:p>
            <w:pPr>
              <w:pStyle w:val="0"/>
            </w:pPr>
            <w:r>
              <w:rPr>
                <w:sz w:val="24"/>
              </w:rPr>
              <w:t xml:space="preserve">методика В.М. Когана (методика совмещения признаков)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-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обучения способности решать различные проблемы </w:t>
            </w:r>
            <w:hyperlink w:history="0" r:id="rId42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(05 12 18)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</w:pPr>
            <w:r>
              <w:rPr>
                <w:sz w:val="24"/>
              </w:rPr>
              <w:t xml:space="preserve">головоломки и настольные игры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-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обучения способности решать различные проблемы </w:t>
            </w:r>
            <w:hyperlink w:history="0" r:id="rId43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(05 12 18)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</w:pPr>
            <w:r>
              <w:rPr>
                <w:sz w:val="24"/>
              </w:rPr>
              <w:t xml:space="preserve">тактильные шашки, шахматы, нарды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-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обучения навыкам индуктивного/дедуктивного мышления </w:t>
            </w:r>
            <w:hyperlink w:history="0" r:id="rId44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(05 12 21)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</w:pPr>
            <w:r>
              <w:rPr>
                <w:sz w:val="24"/>
              </w:rPr>
              <w:t xml:space="preserve">сборник головоломок для развития мышления;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игры на развитие аналитических процессов;</w:t>
            </w:r>
          </w:p>
          <w:p>
            <w:pPr>
              <w:pStyle w:val="0"/>
            </w:pPr>
            <w:r>
              <w:rPr>
                <w:sz w:val="24"/>
              </w:rPr>
              <w:t xml:space="preserve">настольные игры, в том числе в адаптированном формате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-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развития способности понимать причину и следствие </w:t>
            </w:r>
            <w:hyperlink w:history="0" r:id="rId45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(05 12 24)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</w:pPr>
            <w:r>
              <w:rPr>
                <w:sz w:val="24"/>
              </w:rPr>
              <w:t xml:space="preserve">развивающие наборы и логические игры для развития ассоциативного процесса;</w:t>
            </w:r>
          </w:p>
          <w:p>
            <w:pPr>
              <w:pStyle w:val="0"/>
            </w:pPr>
            <w:r>
              <w:rPr>
                <w:sz w:val="24"/>
              </w:rPr>
              <w:t xml:space="preserve">головоломки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-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175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когнитивной (познавательной) терапии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hyperlink w:history="0" r:id="rId46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04 26</w:t>
              </w:r>
            </w:hyperlink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Настольные игры на развитие памяти;</w:t>
            </w:r>
          </w:p>
          <w:p>
            <w:pPr>
              <w:pStyle w:val="0"/>
            </w:pPr>
            <w:r>
              <w:rPr>
                <w:sz w:val="24"/>
              </w:rPr>
              <w:t xml:space="preserve">развивающие наборы;</w:t>
            </w:r>
          </w:p>
          <w:p>
            <w:pPr>
              <w:pStyle w:val="0"/>
            </w:pPr>
            <w:r>
              <w:rPr>
                <w:sz w:val="24"/>
              </w:rPr>
              <w:t xml:space="preserve">модульные наборы психолога (в частности, боксы психолога с различным наполнением)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-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175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перцептивной тренировки (тренировки восприимчивости)</w:t>
            </w:r>
          </w:p>
        </w:tc>
        <w:tc>
          <w:tcPr>
            <w:tcW w:w="1247" w:type="dxa"/>
            <w:vAlign w:val="center"/>
            <w:vMerge w:val="restart"/>
          </w:tcPr>
          <w:p>
            <w:pPr>
              <w:pStyle w:val="0"/>
              <w:jc w:val="center"/>
            </w:pPr>
            <w:hyperlink w:history="0" r:id="rId47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04 36</w:t>
              </w:r>
            </w:hyperlink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тренировки (обучения) способности различать и сравнивать </w:t>
            </w:r>
            <w:hyperlink w:history="0" r:id="rId48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(04 36 03)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</w:pPr>
            <w:r>
              <w:rPr>
                <w:sz w:val="24"/>
              </w:rPr>
              <w:t xml:space="preserve">счетные палочки Кюизенера, доски Сегена;</w:t>
            </w:r>
          </w:p>
          <w:p>
            <w:pPr>
              <w:pStyle w:val="0"/>
            </w:pPr>
            <w:r>
              <w:rPr>
                <w:sz w:val="24"/>
              </w:rPr>
              <w:t xml:space="preserve">развивающая панель, звуковая панель;</w:t>
            </w:r>
          </w:p>
          <w:p>
            <w:pPr>
              <w:pStyle w:val="0"/>
            </w:pPr>
            <w:r>
              <w:rPr>
                <w:sz w:val="24"/>
              </w:rPr>
              <w:t xml:space="preserve">наборы карточек на сравнение предметов (по размерам, объему, площади, массе, углам, формам, назначению и другое)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-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обучения (тренировки) сенсорной интеграции </w:t>
            </w:r>
            <w:hyperlink w:history="0" r:id="rId49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(04 36 09)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</w:pPr>
            <w:r>
              <w:rPr>
                <w:sz w:val="24"/>
              </w:rPr>
              <w:t xml:space="preserve">сенсорные мешочки;</w:t>
            </w:r>
          </w:p>
          <w:p>
            <w:pPr>
              <w:pStyle w:val="0"/>
            </w:pPr>
            <w:r>
              <w:rPr>
                <w:sz w:val="24"/>
              </w:rPr>
              <w:t xml:space="preserve">музыкальные инструменты;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природные материалы для тренировки сенсорной дифференциации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обучения (тренировки) сенсорной интеграции </w:t>
            </w:r>
            <w:hyperlink w:history="0" r:id="rId50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(04 36 09)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</w:pPr>
            <w:r>
              <w:rPr>
                <w:sz w:val="24"/>
              </w:rPr>
              <w:t xml:space="preserve">сенсорная комната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обучения (тренировки) сенсорной интеграции </w:t>
            </w:r>
            <w:hyperlink w:history="0" r:id="rId51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(04 36 09)</w:t>
              </w:r>
            </w:hyperlink>
            <w:r>
              <w:rPr>
                <w:sz w:val="24"/>
              </w:rPr>
              <w:t xml:space="preserve">:</w:t>
            </w:r>
          </w:p>
          <w:p>
            <w:pPr>
              <w:pStyle w:val="0"/>
            </w:pPr>
            <w:r>
              <w:rPr>
                <w:sz w:val="24"/>
              </w:rPr>
              <w:t xml:space="preserve">световой стол для рисования песком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175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Устройства для тренировки пальцев и кистей рук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hyperlink w:history="0" r:id="rId52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04 48 12</w:t>
              </w:r>
            </w:hyperlink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Силиконовые мячи для тренировки кистей рук различных текстур;</w:t>
            </w:r>
          </w:p>
          <w:p>
            <w:pPr>
              <w:pStyle w:val="0"/>
            </w:pPr>
            <w:r>
              <w:rPr>
                <w:sz w:val="24"/>
              </w:rPr>
              <w:t xml:space="preserve">различной плотности и ширины резинки и резиновые или силиконовые эспандеры;</w:t>
            </w:r>
          </w:p>
          <w:p>
            <w:pPr>
              <w:pStyle w:val="0"/>
            </w:pPr>
            <w:r>
              <w:rPr>
                <w:sz w:val="24"/>
              </w:rPr>
              <w:t xml:space="preserve">шнуровки;</w:t>
            </w:r>
          </w:p>
          <w:p>
            <w:pPr>
              <w:pStyle w:val="0"/>
            </w:pPr>
            <w:r>
              <w:rPr>
                <w:sz w:val="24"/>
              </w:rPr>
              <w:t xml:space="preserve">комплект тактильных дисков для развития тактильной чувствительности рук и ног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79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2.2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12.2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12.5 - инвалиды, получившие ранение (травму, контузию, увечье) или заболевание в связи с участием в боевых действиях, с последствиями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12.5</w:t>
              </w:r>
            </w:hyperlink>
            <w:r>
              <w:rPr>
                <w:sz w:val="24"/>
              </w:rPr>
              <w:t xml:space="preserve"> -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  <w:r>
              <w:rPr>
                <w:sz w:val="24"/>
              </w:rPr>
              <w:t xml:space="preserve"> - </w:t>
            </w:r>
            <w:hyperlink w:history="0" w:anchor="P118" w:tooltip="ЦРГ 13.2 - инвалиды, получившие травму, ранение, контузию, увечье в связи с боевыми действиями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13.2</w:t>
              </w:r>
            </w:hyperlink>
            <w:r>
              <w:rPr>
                <w:sz w:val="24"/>
              </w:rPr>
              <w:t xml:space="preserve">, </w:t>
            </w:r>
            <w:hyperlink w:history="0" w:anchor="P121" w:tooltip="ЦРГ 13.5 - инвалиды, получившие травму, ранение, контузию, увечье в связи с боевыми действиями, вследствие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13.5</w:t>
              </w:r>
            </w:hyperlink>
            <w:r>
              <w:rPr>
                <w:sz w:val="24"/>
              </w:rPr>
              <w:t xml:space="preserve"> -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Настенные панели для эрготерапии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175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Устройства для тренировки рук, туловища и ног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hyperlink w:history="0" r:id="rId53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04 48 15</w:t>
              </w:r>
            </w:hyperlink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Сенсорная тропа для ног;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наборы (модули) для тренировки верхних конечностей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05" w:tooltip="ЦРГ 12.3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дной нижней конечности;">
              <w:r>
                <w:rPr>
                  <w:sz w:val="24"/>
                  <w:color w:val="0000ff"/>
                </w:rPr>
                <w:t xml:space="preserve">12.3</w:t>
              </w:r>
            </w:hyperlink>
            <w:r>
              <w:rPr>
                <w:sz w:val="24"/>
              </w:rPr>
              <w:t xml:space="preserve"> -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  <w:r>
              <w:rPr>
                <w:sz w:val="24"/>
              </w:rPr>
              <w:t xml:space="preserve">, </w:t>
            </w:r>
            <w:hyperlink w:history="0" w:anchor="P119" w:tooltip="ЦРГ 13.3 - инвалиды, получившие травму, ранение, контузию, увечье в связи с боевыми действиями, вследствие приобретенного отсутствия (ампутации) одной нижней конечности;">
              <w:r>
                <w:rPr>
                  <w:sz w:val="24"/>
                  <w:color w:val="0000ff"/>
                </w:rPr>
                <w:t xml:space="preserve">13.3</w:t>
              </w:r>
            </w:hyperlink>
            <w:r>
              <w:rPr>
                <w:sz w:val="24"/>
              </w:rPr>
              <w:t xml:space="preserve"> -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Аппаратно-программные комплексы восстановления утраченных двигательных функций, в том числе с использованием виртуальной реальности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175" w:type="dxa"/>
          </w:tcPr>
          <w:p>
            <w:pPr>
              <w:pStyle w:val="0"/>
            </w:pPr>
            <w:r>
              <w:rPr>
                <w:sz w:val="24"/>
              </w:rPr>
              <w:t xml:space="preserve">Устройства с биологической обратной связью для тренировки опорно-двигательного и вестибулярного аппаратов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hyperlink w:history="0" r:id="rId54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04 48 24</w:t>
              </w:r>
            </w:hyperlink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Аппаратно-программные комплексы с биологической обратной связью, в том числе с использованием виртуальной реальности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175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обучения социальному поведению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hyperlink w:history="0" r:id="rId55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05 27 06</w:t>
              </w:r>
            </w:hyperlink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Специальные альбом с тематикой повышения социального интеллекта, дидактические карточки для развития эмоций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;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175" w:type="dxa"/>
          </w:tcPr>
          <w:p>
            <w:pPr>
              <w:pStyle w:val="0"/>
            </w:pPr>
            <w:r>
              <w:rPr>
                <w:sz w:val="24"/>
              </w:rPr>
              <w:t xml:space="preserve">Средства для поддержания памяти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hyperlink w:history="0" r:id="rId56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22 27 16</w:t>
              </w:r>
            </w:hyperlink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Устройства для уведомления или напоминания о приеме лекарств, портативные записные книжки, ноутбуки с поддержкой памяти, системы отображения речи, системы напоминаний о времени каких-либо действий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;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остальные ЦРГ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3175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Средства для рисования и рукописи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hyperlink w:history="0" r:id="rId57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22 12 03</w:t>
              </w:r>
            </w:hyperlink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Наборы цветных ручек, фломастеров, карандашей, мелков, пастели;</w:t>
            </w:r>
          </w:p>
          <w:p>
            <w:pPr>
              <w:pStyle w:val="0"/>
            </w:pPr>
            <w:r>
              <w:rPr>
                <w:sz w:val="24"/>
              </w:rPr>
              <w:t xml:space="preserve">гуашь, акварель, кисточки;</w:t>
            </w:r>
          </w:p>
          <w:p>
            <w:pPr>
              <w:pStyle w:val="0"/>
            </w:pPr>
            <w:r>
              <w:rPr>
                <w:sz w:val="24"/>
              </w:rPr>
              <w:t xml:space="preserve">линейки, фигурные трафареты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Цветные карандаши для слепых и слабовидящих, тактильные линейки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  <w:r>
              <w:rPr>
                <w:sz w:val="24"/>
              </w:rPr>
              <w:t xml:space="preserve">,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Держатели для ручек, карандашей, кисточек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2.2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12.2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12.5 - инвалиды, получившие ранение (травму, контузию, увечье) или заболевание в связи с участием в боевых действиях, с последствиями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12.5</w:t>
              </w:r>
            </w:hyperlink>
            <w:r>
              <w:rPr>
                <w:sz w:val="24"/>
              </w:rPr>
              <w:t xml:space="preserve">, </w:t>
            </w:r>
            <w:hyperlink w:history="0" w:anchor="P108" w:tooltip="ЦРГ 12.6 - инвалиды, получившие ранение (травму, контузию, увечье) или заболевание в связи с участием в боевых действиях, с последствиями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12.6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12.7 - инвалиды, получившие ранение (травму, контузию, увечье) или заболевание в связи с участием в боевых действиях, с последствиями поражения периферической нервной системы;">
              <w:r>
                <w:rPr>
                  <w:sz w:val="24"/>
                  <w:color w:val="0000ff"/>
                </w:rPr>
                <w:t xml:space="preserve">12.7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  <w:r>
              <w:rPr>
                <w:sz w:val="24"/>
              </w:rPr>
              <w:t xml:space="preserve"> - </w:t>
            </w:r>
            <w:hyperlink w:history="0" w:anchor="P118" w:tooltip="ЦРГ 13.2 - инвалиды, получившие травму, ранение, контузию, увечье в связи с боевыми действиями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13.2</w:t>
              </w:r>
            </w:hyperlink>
            <w:r>
              <w:rPr>
                <w:sz w:val="24"/>
              </w:rPr>
              <w:t xml:space="preserve">, </w:t>
            </w:r>
            <w:hyperlink w:history="0" w:anchor="P121" w:tooltip="ЦРГ 13.5 - инвалиды, получившие травму, ранение, контузию, увечье в связи с боевыми действиями, вследствие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13.5</w:t>
              </w:r>
            </w:hyperlink>
            <w:r>
              <w:rPr>
                <w:sz w:val="24"/>
              </w:rPr>
              <w:t xml:space="preserve">, </w:t>
            </w:r>
            <w:hyperlink w:history="0" w:anchor="P122" w:tooltip="ЦРГ 13.6 - инвалиды, получившие травму, ранение, контузию, увечье в связи с боевыми действиями, вследствие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13.6</w:t>
              </w:r>
            </w:hyperlink>
            <w:r>
              <w:rPr>
                <w:sz w:val="24"/>
              </w:rPr>
              <w:t xml:space="preserve">, </w:t>
            </w:r>
            <w:hyperlink w:history="0" w:anchor="P123" w:tooltip="ЦРГ 13.7 - инвалиды, получившие травму, ранение, контузию, увечье в связи с боевыми действиями, вследствие поражения периферической нервной системы;">
              <w:r>
                <w:rPr>
                  <w:sz w:val="24"/>
                  <w:color w:val="0000ff"/>
                </w:rPr>
                <w:t xml:space="preserve">13.7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3175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средства, записывающие, воспроизводящие и отображающие звуко- и видеоинформацию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hyperlink w:history="0" r:id="rId58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22 18</w:t>
              </w:r>
            </w:hyperlink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Тактильно-звуковые 3D-пособия, тифлофлешплеер, аудиомагнитофон, цифровой диктофон, наушники-плеер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Телевизор с телетекстом для приема программ со скрытыми субтитрами, медиаплеер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12.9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  <w:r>
              <w:rPr>
                <w:sz w:val="24"/>
              </w:rPr>
              <w:t xml:space="preserve">,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Аудиомагнитофон, телевизор, медиаплеер, цифровой диктофон, наушники-плеер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Для практических занятий:</w:t>
            </w:r>
          </w:p>
          <w:p>
            <w:pPr>
              <w:pStyle w:val="0"/>
            </w:pP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-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 -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необходимости и с учетом (сенсорной и когнитивной) доступности материала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946" w:name="P946"/>
    <w:bookmarkEnd w:id="94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Наименование реабилитационного оборудования (вспомогательных средств и технических средств реабилитации) приведены с учетом положений </w:t>
      </w:r>
      <w:hyperlink w:history="0" r:id="rId59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N 385н.</w:t>
      </w:r>
    </w:p>
    <w:bookmarkStart w:id="947" w:name="P947"/>
    <w:bookmarkEnd w:id="94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&lt;9&gt; Код группы или подкласса вспомогательных средств и технических средств реабилитации приведен в соответствии с кодом, указанным в </w:t>
      </w:r>
      <w:hyperlink w:history="0" r:id="rId60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<w:r>
          <w:rPr>
            <w:sz w:val="24"/>
            <w:color w:val="0000ff"/>
          </w:rPr>
          <w:t xml:space="preserve">ГОСТ-9999</w:t>
        </w:r>
      </w:hyperlink>
      <w:r>
        <w:rPr>
          <w:sz w:val="24"/>
        </w:rPr>
        <w:t xml:space="preserve">.</w:t>
      </w:r>
    </w:p>
    <w:bookmarkStart w:id="948" w:name="P948"/>
    <w:bookmarkEnd w:id="94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&lt;10&gt; Наименование вспомогательных средств и код подкласса приведены в соответствии с </w:t>
      </w:r>
      <w:hyperlink w:history="0" r:id="rId61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<w:r>
          <w:rPr>
            <w:sz w:val="24"/>
            <w:color w:val="0000ff"/>
          </w:rPr>
          <w:t xml:space="preserve">ГОСТ-9999</w:t>
        </w:r>
      </w:hyperlink>
      <w:r>
        <w:rPr>
          <w:sz w:val="24"/>
        </w:rPr>
        <w:t xml:space="preserve">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IX. Примерный перечень методов, технологий и методик,</w:t>
      </w:r>
    </w:p>
    <w:p>
      <w:pPr>
        <w:pStyle w:val="2"/>
        <w:jc w:val="center"/>
      </w:pPr>
      <w:r>
        <w:rPr>
          <w:sz w:val="24"/>
        </w:rPr>
        <w:t xml:space="preserve">необходимых для оказания услуги, 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6"/>
        <w:gridCol w:w="3969"/>
        <w:gridCol w:w="1644"/>
        <w:gridCol w:w="5159"/>
      </w:tblGrid>
      <w:tr>
        <w:tc>
          <w:tcPr>
            <w:tcW w:w="5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9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методики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Целевая реабилитационная группа</w:t>
            </w:r>
          </w:p>
        </w:tc>
        <w:tc>
          <w:tcPr>
            <w:tcW w:w="515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Примечание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10772" w:type="dxa"/>
          </w:tcPr>
          <w:p>
            <w:pPr>
              <w:pStyle w:val="0"/>
            </w:pPr>
            <w:r>
              <w:rPr>
                <w:sz w:val="24"/>
              </w:rPr>
              <w:t xml:space="preserve">Диагностические методики</w:t>
            </w:r>
          </w:p>
        </w:tc>
      </w:tr>
      <w:tr>
        <w:tc>
          <w:tcPr>
            <w:tcW w:w="586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</w:t>
            </w:r>
          </w:p>
        </w:tc>
        <w:tc>
          <w:tcPr>
            <w:gridSpan w:val="3"/>
            <w:tcW w:w="10772" w:type="dxa"/>
          </w:tcPr>
          <w:p>
            <w:pPr>
              <w:pStyle w:val="0"/>
            </w:pPr>
            <w:r>
              <w:rPr>
                <w:sz w:val="24"/>
              </w:rPr>
              <w:t xml:space="preserve">Исследование когнитивных функций и интеллектуальной сферы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Диагностическая батарея нейропсихологических тестов (А.Р. Лурия)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Допускается вариация комбинаций методик (индивидуация объема батареи, комплекта методик) с учетом психофизиологических особенностей инвалида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Нейропсихологическое блиц-обследование (Т.Г. Визель)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Краткое нейропсихологическое обследование когнитивной сферы (И.М. Тонконогий)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Допускается вариация комбинаций методик (индивидуация объема батареи, комплекта методик) с учетом психофизиологических особенностей инвалида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Экспериментальные методики патопсихологии (Комплект: Практическое руководство + Стимульный материал) (С.Я. Рубинштейн)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Допускается вариация комбинаций методик (индивидуация объема батареи, комплекта методик) с учетом психофизиологических особенностей инвалида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Краткая шкала оценки психического статуса (М.Ф. Фолштейн)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1.6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Методика диагностики интеллекта по тесту Векслера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 необходимости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1.7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Тест для оценки мыслительных способностей "Прогрессивные матрицы Равена"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51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1.8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Методика "Кольца Ландольта"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 и одновременным отсутствием обеих верхних конечностей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Методика применяется при сохранности навыка письма и рисования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1.9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"Последовательность событий" (А.Н. Бернштейн)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51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1.10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Методика скрининг обследования больных с афазией (М.М. Щербакова, С.В. Котов)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12.9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Все остальные ЦРГ - при необходимости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1.11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Методика оценки речи при афазии (Л.С. Цветкова, Т.В. Ахутина, Н.М. Пылаева)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12.9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Все остальные ЦРГ - при необходимости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1.12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Шкала для оценки степени выраженности речевых нарушений у больных с локальными поражениями мозга (С.А. Дорофеева)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12.9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Все остальные ЦРГ - при необходимости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1.13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Методика классификации предметов. Практикум по психодиагностике (Л.Н. Собчик)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51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86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</w:t>
            </w:r>
          </w:p>
        </w:tc>
        <w:tc>
          <w:tcPr>
            <w:gridSpan w:val="3"/>
            <w:tcW w:w="10772" w:type="dxa"/>
          </w:tcPr>
          <w:p>
            <w:pPr>
              <w:pStyle w:val="0"/>
            </w:pPr>
            <w:r>
              <w:rPr>
                <w:sz w:val="24"/>
              </w:rPr>
              <w:t xml:space="preserve">Исследование эмоциональной и личностной сферы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Проективные методики ("Рисунок семьи", "Рисунок человека", "Несуществующее животное", "Дом-Дерево-Человек" и другие)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 и одновременным отсутствием обеих верхних конечностей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Проективные методики используются с учетом состояния интеллектуальной сферы инвалида (</w:t>
            </w: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сохранности навыка письма и рисования, а также с учетом доступности понимания инвалидом выполняемого задания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Тест фрустрационных реакций (С. Розенцвейг)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Проективные методики используются с учетом состояния интеллектуальной сферы инвалида (</w:t>
            </w: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с учетом доступности понимания инвалидом выполняемого задания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Цветовой тест М. Люшера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Проективные методики используются с учетом состояния интеллектуальной сферы инвалида (</w:t>
            </w: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с учетом доступности понимания инвалидом выполняемого задания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2.4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 цветовых выборов (Л.Н. Собчик, модифицированный восьмицветовой тест М. Люшера)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Проективные методики используются с учетом состояния интеллектуальной сферы инвалида (</w:t>
            </w: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с учетом доступности понимания инвалидом выполняемого задания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2.5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Тест Руки (Э. Вагнер)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Проективные методики используются с учетом состояния интеллектуальной сферы инвалида (</w:t>
            </w: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с учетом доступности понимания инвалидом выполняемого задания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2.6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Опросник САН (самочувствия, активности и настроения)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2.7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Исследование самооценки Дембо-Рубинштейн (модификация А.М. Прихожан)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Методика используется с учетом доступности понимания инвалидом выполняемого задания.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2.8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Тест смысложизненных ориентаций (СЖО) (Дж. Крамбо, Л. Махолика, адаптация Д.А. Леонтьева)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Методика используется с учетом доступности понимания инвалидом выполняемого задания.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2.9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Ценностные ориентации (М. Рокич)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Методика используется с учетом доступности понимания инвалидом выполняемого задания.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2.10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Двадцать утверждений самоотношения (М. Кун, Т. Мак-Партланд, модификация В.И. Юрченко)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2.11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Методика диагностики самооценки (Ч.Д. Спилбергер, Ю.Л. Ханин)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2.12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Методика измерения уровня тревожности (Дж. Тейлор, адаптация В.Г. Норакидзе)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2.13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Шкала депрессии А. Бека (адаптация Н.В. Тарабриной)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2.14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Госпитальная шкала тревоги и депрессии (А. Зигмонд, Р. Снейт, адаптация А.В. Андрющенко)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2.15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Симптоматический опросник SCL-90-R (Simptom Check List-90-Revised) (Л. Дерогатис, адаптация Н.В. Тарабриной)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2.16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Опросник уровня агрессивности Басса-Дарки (адаптация С.Н. Ениколопова)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2.17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(Eysenck Personality Inventory) (Г. Айзенк)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2.18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Многофакторная личностная методика Р. Кеттелла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2.19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Я-структурный тест Г. Аммона (Ю.А. Тупицын)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2.20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Многоуровневый личностный опросник "Адаптивность" (А.Г. Маклаков, С.В. Чермянин)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2.21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Тест-опросник Шмишека (Г. Шмишек, адаптация В.М. Блейхер)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2.22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Опросник Мини-Мульт (СМОЛ - сокращенный многофакторный опросник для исследования личности)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2.23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отношения к болезни (ТОБОЛ) (Л.И. Вассерман, Б.В. Иовлев, Э.Б. Карпова)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2.24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Опросник "Стратегии совладающего поведения" (Р. Лазарус, С. Фолкман; адапт. Т.Л. Крюковой, Е.В. Куфтяк, М.С. Замышляевой; доп. стандартизирована Л.И. Вассерманом, Б.В. Иовлевым, Е.Р. Исаевой и другие)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2.25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Уровень субъективного контроля личности (Е.Ф. Бажин, Е.А. Голынкина, А.М. Эткинд)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2.26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Шкала базисных убеждений (Р. Янов-Бульман, адаптация О.А. Кравцовой, М.А. Падун, А.В. Котельниковой)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2.27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Опросник оценки реабилитационной приверженности личности (ОРПЛ) (вариант, адаптированный для лиц, получивших военную травму) (Е.В. Морозова)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3.</w:t>
            </w:r>
          </w:p>
        </w:tc>
        <w:tc>
          <w:tcPr>
            <w:gridSpan w:val="3"/>
            <w:tcW w:w="10772" w:type="dxa"/>
          </w:tcPr>
          <w:p>
            <w:pPr>
              <w:pStyle w:val="0"/>
            </w:pPr>
            <w:r>
              <w:rPr>
                <w:sz w:val="24"/>
              </w:rPr>
              <w:t xml:space="preserve">Исследование сферы межличностных взаимоотношений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Методика "Незаконченные предложения" (Д. Сакс, С. Леви)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Диагностика межличностных отношений (ДМО) (модификация Л.Н. Собчик)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Тест коммуникативных умений Михельсона (адаптация Ю.З. Гильбуха)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3.4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Цветовой тест отношений (А.М. Эткинд)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ЦРГ, кроме инвалидов с нарушениями функций зрения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Проективные методики используются с учетом состояния интеллектуальной сферы инвалида (</w:t>
            </w:r>
            <w:hyperlink w:history="0" w:anchor="P102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  <w:r>
              <w:rPr>
                <w:sz w:val="24"/>
              </w:rPr>
              <w:t xml:space="preserve">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с учетом доступности понимания инвалидом выполняемого задания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3.5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Шкала социального самоконтроля (М. Снайдер, адаптация Н.В. Амяга)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3.6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Диагностика коммуникативной толерантности (В.В. Бойко)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 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4</w:t>
            </w:r>
          </w:p>
        </w:tc>
        <w:tc>
          <w:tcPr>
            <w:gridSpan w:val="3"/>
            <w:tcW w:w="10772" w:type="dxa"/>
          </w:tcPr>
          <w:p>
            <w:pPr>
              <w:pStyle w:val="0"/>
            </w:pPr>
            <w:r>
              <w:rPr>
                <w:sz w:val="24"/>
              </w:rPr>
              <w:t xml:space="preserve">Диагностика ПТСР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Структурированное клиническое диагностическое интервью: Модуль I. "Посттравматическое стрессовое расстройство"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Клиническое диагностическое интервью ведется специалистом, самостоятельное заполнение бланка инвалидом не требуется согласно протоколу исследования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4.2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Шкала для клинической диагностики ПТСР (Ф. Уэзерс, адаптация Н.В. Тарабриной)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Клиническое диагностическое интервью ведется специалистом, самостоятельное заполнение бланка инвалидом не требуется согласно протоколу исследования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4.3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Миссисипская шкала для оценки посттравматических реакций (военный вариант) (Т. Кин, адаптация Н.В. Тарабриной)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4.4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Опросник травматического стресса для диагностики психологических последствий (И.О. Котенев)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</w:pPr>
            <w:r>
              <w:rPr>
                <w:sz w:val="24"/>
              </w:rPr>
              <w:t xml:space="preserve">4.5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Шкала оценки интенсивности боевого опыта (Т. Кин, адаптация Н.В. Тарабриной)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4.6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Шкала оценки влияния травматического события (М. Горовиц, адаптация Н.В. Тарабриной)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4.7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Краткая шкала тревоги, депрессии и ПТСР (Б. Харт, адаптация И.О. Котенева)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 ЦРГ</w:t>
            </w:r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Личностный опросник дается с учетом доступности понимания инвалидом смысла утверждений.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Текстовый (печатный) вариант опросника при нарушении зрительных функций предъявляется: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учетом возможности остаточного зрения на адаптированных бланках (повышенная контрастность, укрупненный шрифт и так далее);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устном формате при отсутствии зрения</w:t>
            </w:r>
          </w:p>
        </w:tc>
      </w:tr>
      <w:tr>
        <w:tc>
          <w:tcPr>
            <w:tcW w:w="586" w:type="dxa"/>
          </w:tcPr>
          <w:p>
            <w:pPr>
              <w:pStyle w:val="0"/>
              <w:outlineLvl w:val="2"/>
              <w:jc w:val="both"/>
            </w:pPr>
            <w:r>
              <w:rPr>
                <w:sz w:val="24"/>
              </w:rPr>
              <w:t xml:space="preserve">5.</w:t>
            </w:r>
          </w:p>
        </w:tc>
        <w:tc>
          <w:tcPr>
            <w:gridSpan w:val="3"/>
            <w:tcW w:w="1077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Коррекционные методики</w:t>
            </w:r>
          </w:p>
        </w:tc>
      </w:tr>
      <w:tr>
        <w:tc>
          <w:tcPr>
            <w:tcW w:w="58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5.1.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Альбом для тренировки мозга от нейропсихолога (Н.К. Талызина)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58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5.2.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Альбом для развития мозга от нейропсихолога (Н.К. Талызина)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58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5.3.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Гимнастика для ума (О.И. Марычева, К.А. Габараева)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58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5.4.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Восстановление высших психических функций (Л.С. Цветкова)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58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5.5.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Нейропсихология письма, чтения и счета: нарушение и восстановление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(Л.С. Цветкова)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58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5.6.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Нейропсихологическая реабилитация больных: речь и интеллектуальная деятельность (Л.С. Цветкова)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58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5.7.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Афазия. Агнозия. Апраксия. Методики восстановления (М.Г. Храковская)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58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5.8.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Внимание, мышление, речь. Комплекс упражнений. Грубая форма афазии (1 и 2 часть) (Л.Б. Клепацкая)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58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5.9.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Развитие речи, мышления, внимания.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Грубая форма афазии (Л.Б. Клепацкая)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58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5.10.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Когнитивная реабилитация больных с инсультом и черепно-мозговыми травмами (В.Н. Григорьева, М.С. Ковязина, А.Ш. Тхостов)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58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5.11.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Понимание и формирование речи. Грубая форма афазий (Л.Б. Клепацкая)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58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5.12.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Восстановление речи. Упражнения и тексты. Средняя и легкая формы афазии (Л.Б. Клепацкая)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58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5.13.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Восстановление речевых функций у больных с разными формами афазии (В.М. Шкловский, Т.Г. Визель)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Адаптированный вариант предъявления методики, с опорой на сохранные анализаторные системы:</w:t>
            </w:r>
          </w:p>
          <w:p>
            <w:pPr>
              <w:pStyle w:val="0"/>
              <w:jc w:val="both"/>
            </w:pPr>
            <w:hyperlink w:history="0" w:anchor="P111" w:tooltip="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ЦРГ 12.9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;">
              <w:r>
                <w:rPr>
                  <w:sz w:val="24"/>
                  <w:color w:val="0000ff"/>
                </w:rPr>
                <w:t xml:space="preserve">12.10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">
              <w:r>
                <w:rPr>
                  <w:sz w:val="24"/>
                  <w:color w:val="0000ff"/>
                </w:rPr>
                <w:t xml:space="preserve">12.11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 </w:t>
            </w:r>
            <w:hyperlink w:history="0" w:anchor="P125" w:tooltip="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">
              <w:r>
                <w:rPr>
                  <w:sz w:val="24"/>
                  <w:color w:val="0000ff"/>
                </w:rPr>
                <w:t xml:space="preserve">13.9</w:t>
              </w:r>
            </w:hyperlink>
            <w:r>
              <w:rPr>
                <w:sz w:val="24"/>
              </w:rPr>
              <w:t xml:space="preserve">, </w:t>
            </w:r>
            <w:hyperlink w:history="0" w:anchor="P126" w:tooltip="ЦРГ 13.10 - инвалиды, получившие травму, ранение, контузию, увечье в связи с боевыми действиями, вследствие поражения органа зрения;">
              <w:r>
                <w:rPr>
                  <w:sz w:val="24"/>
                  <w:color w:val="0000ff"/>
                </w:rPr>
                <w:t xml:space="preserve">13.10</w:t>
              </w:r>
            </w:hyperlink>
            <w:r>
              <w:rPr>
                <w:sz w:val="24"/>
              </w:rPr>
              <w:t xml:space="preserve">, </w:t>
            </w:r>
            <w:hyperlink w:history="0" w:anchor="P127" w:tooltip="ЦРГ 13.11 - инвалиды, получившие травму, ранение, контузию, увечье в связи с боевыми действиями, вследствие поражения органа слуха;">
              <w:r>
                <w:rPr>
                  <w:sz w:val="24"/>
                  <w:color w:val="0000ff"/>
                </w:rPr>
                <w:t xml:space="preserve">13.11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tcW w:w="58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5.14.</w:t>
            </w:r>
          </w:p>
        </w:tc>
        <w:tc>
          <w:tcPr>
            <w:tcW w:w="39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Программа психологического сопровождения пациентов с синдромом неглекта (Е.В. Никитаева)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hyperlink w:history="0" w:anchor="P110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, </w:t>
            </w:r>
            <w:hyperlink w:history="0" w:anchor="P124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29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515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Остальные ЦРГ - при необходимости.</w:t>
            </w:r>
          </w:p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both"/>
      </w:pPr>
      <w:r>
        <w:rPr>
          <w:sz w:val="24"/>
        </w:rPr>
        <w:t xml:space="preserve">Примерный перечень методов и направлений психологического консультирования и психотерапии, применяемых при реализации мероприятий в рамках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реализации мероприятий психологического консультирования, практических занятий, психологических тренингов для инвалидов, получивших ранение (травму, контузию, увечье) или заболевание в связи с участием в боевых действиях рекомендуется использовать следующие психологические методы, подходы и психотерапевтические направления: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десенсибилизация и переработка движением глаз (ДПДГ) относится к краткосрочным методам психотерапии травматического опыта, и заключается в целенаправленной инициации процесса "переработки" воспоминаний о негативных событиях при помощи билатеральной стимуляции посредством специальных техник (серий движений глаз, постукиваний по рукам или пощелкиваний пальцами);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когнитивно-поведенческая терапия базируется на принципе проработки "ошибок" мышления и деструктивных поведенческих стереотипов для адаптации эмоциональных и поведенческих реакций личности при реализации различных социальных, профессиональных и других функций;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семейная психотерапия направлена на коррекцию нарушений межличностных внутрисемейных отношений и устранение связанных с ними эмоциональных и поведенческих расстройств (в формате работы психотерапевта с одним или несколькими членами семьи);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кататимно-имагинативная психотерапия (символдрама) направлена на разрешение внутреннего конфликта через опосредование переживания образным символом;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экзистенциальная психотерапия (в том числе логотерапия) основана на поиске и анализе человеком различных смыслов существования;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гештальт-терапия сфокусирована на проработке внутриличностных конфликтов в настоящем моменте ("здесь и сейчас") с помощью различных гештальт-техник и упражнений, направленных на осознание многогранного личностного опыта (чувств, переживаний, телесных проявлений, действий, поступков и происходящих с человеком событий), что позволяет достичь внутриличностной целостности (интегрированности) и осмысленности жизни, улучшающих творческий контакт человека с окружающей средой (социальным окружением и внешним миром в целом);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арт-терапия базируется на принципе использования творческой активности человека в качестве терапевтического и профилактического воздействия в целях снятия стресса, повышенной тревожности, эмоционального напряжения и другой симптоматики, посредством творческого самовыражения в рамках различных техник (изобразительное искусство, музыка, экспрессивно окрашенные движения, танец или театральное, сценическое искусство);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психодрама базируется на проработке проблемных переживаний посредством разыгрывания (импровизация) разнообразных жизненных сценариев с целью снятия эмоционального напряжения и освоения новых, более адаптивных способов поведения (в групповой и индивидуальной форме);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личностно-ориентированная терапия ставит акцент не на симптомах, а на личностных проблемах с целью сделать личность способной к разрешению внешних и внутренних конфликтов путем реорганизации системы ее отношений;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методы психологической саморегуляции обучает самостоятельному формированию алгоритмов внутреннего управления собственным психоэмоциональным состоянием посредством самовоздействия человека с помощью различных техник (аффирмаций, мысленных образов (визуализация), регуляции мышечного тонуса и дыхания (нервно-мышечная релаксация, аутогенная тренировка, сенсорная репродукция образов и другое).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390" w:name="P1390"/>
    <w:bookmarkEnd w:id="1390"/>
    <w:p>
      <w:pPr>
        <w:pStyle w:val="2"/>
        <w:outlineLvl w:val="1"/>
        <w:jc w:val="center"/>
      </w:pPr>
      <w:r>
        <w:rPr>
          <w:sz w:val="24"/>
        </w:rPr>
        <w:t xml:space="preserve">Раздел X. Показатели качества и оценка результатов</w:t>
      </w:r>
    </w:p>
    <w:p>
      <w:pPr>
        <w:pStyle w:val="2"/>
        <w:jc w:val="center"/>
      </w:pPr>
      <w:r>
        <w:rPr>
          <w:sz w:val="24"/>
        </w:rPr>
        <w:t xml:space="preserve">реализации услуги, 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25. Показателями качества и оценки результативности реализации услуги в рамках стандарта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полнота выполнения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достижение конкретных целей;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удовлетворенность результатами оказанной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поступлении в реабилитационную организацию инвалида проводится социально-психологическая диагностика первичная (входящая), а по завершении - социально-психологическая диагностика повторная (контрольная).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диагностики используется протокол оценки эффективности проведенного курса социально-психологической реабилитации и абилитации (далее - протокол), представленный в </w:t>
      </w:r>
      <w:hyperlink w:history="0" w:anchor="P1487" w:tooltip="26. Протокол оценки эффективности проведенного курса социально-психологической реабилитации и абилитации.">
        <w:r>
          <w:rPr>
            <w:sz w:val="24"/>
            <w:color w:val="0000ff"/>
          </w:rPr>
          <w:t xml:space="preserve">пункте 26</w:t>
        </w:r>
      </w:hyperlink>
      <w:r>
        <w:rPr>
          <w:sz w:val="24"/>
        </w:rPr>
        <w:t xml:space="preserve"> настоящего раздела стандарта.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рамках социально-психологической диагностики проводится, в том числе, оценка ограничений в следующих основных категориях жизнедеятельности: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способность контролировать свое поведение,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способность к общению.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Частично социально-психологическая диагностика касается оценки ОЖД в категориях: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способность к ориентации,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способность к обучению.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Кроме того, учитывается оценка ОЖД в остальных категориях: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способность к самообслуживанию,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способность к самостоятельному передвижению,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способность к трудовой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ОЖД производится на основании описания активности и участия инвалида посредством оценки категорий МКФ в соответствии со следующей шкалой: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- 0 - нет затруднений;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- 1 - легкие затруднения;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- 2 - умеренные затруднения;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- 3 - тяжелые затруднения;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- 4 - абсолютные затруднения.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социально-психологической диагностики первичной (входящей) определяются конкретные цели на курс социально-психологической реабилитации и абилитации и объем мероприятий, входящих в состав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окончании курса реабилитации проводится социально-психологическая диагностика повторная (контрольная), в рамках которой оцениваются критерии: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5669"/>
        <w:gridCol w:w="964"/>
        <w:gridCol w:w="907"/>
        <w:gridCol w:w="1077"/>
      </w:tblGrid>
      <w:tr>
        <w:tc>
          <w:tcPr>
            <w:gridSpan w:val="2"/>
            <w:tcW w:w="61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Критерии эффективности реализации услуги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балла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балл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баллов</w:t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Полнота выполнения услуги (P)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Достижение конкретных целей (C)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Реабилитационный эффект (R)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Удовлетворенность результатами оказанной услуги (U)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6123" w:type="dxa"/>
          </w:tcPr>
          <w:p>
            <w:pPr>
              <w:pStyle w:val="0"/>
            </w:pPr>
            <w:r>
              <w:rPr>
                <w:sz w:val="24"/>
              </w:rPr>
              <w:t xml:space="preserve">Общий балл:</w:t>
            </w:r>
          </w:p>
        </w:tc>
        <w:tc>
          <w:tcPr>
            <w:gridSpan w:val="3"/>
            <w:tcW w:w="294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Критерий "Полнота выполнения услуги" (P) оценивается исходя из того, насколько полно были реализованы все мероприятия, обозначенные в настоящем стандарте, для соответствующей ЦРГ. При реализации мероприятий в соответствии со стандартом - полный объем (социально-психологическая диагностика (первичная (входящая), повторная (контрольная), информирование, консультирование, практические занятия, тренинги, просвещение) - услуга оказана в полном объеме - ставится 2 балла. При выполнении мероприятий не в полном объеме (не проведено 1 мероприятие из указанных в стандарте) - услуга оказана частично - 1 балл. При невыполнении 2 или более мероприятий, входящих в состав услуги, или количество мероприятий меньше, чем указано в стандарте - услуга оказана не в полном объеме - 0 баллов.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Критерий "Достижение конкретных целей" (C) оценивается насколько полно были реализованы конкретные цели, определенные при первичной (входящей) социально-психологической диагностике на курс реабилитации. Поставленные цели достигнуты полностью - 2 балла. Поставленные цели достигнуты частично - 1 балл. Ни одна из поставленных целей не достигнута - 0 баллов.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Критерий "Реабилитационный эффект" (R) рассчитывается посредством сопоставления результатов первичной (входящей) и повторной (контрольной) диагностики по формуле: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R = b / a * 100%,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R - реабилитационный эффект, в процентах;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b - количество категорий МКФ, по которым наблюдается положительная динамика;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a - общее количество исследуемых категорий МКФ, которым были присвоены баллы от 4 до 1.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получении дробного числа, необходимо произвести его округление.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реабилитационного эффекта производится по следующим критериям: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118"/>
        <w:gridCol w:w="3061"/>
        <w:gridCol w:w="2891"/>
      </w:tblGrid>
      <w:tr>
        <w:tc>
          <w:tcPr>
            <w:tcW w:w="311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Реабилитационный эффект (R), %</w:t>
            </w:r>
          </w:p>
        </w:tc>
        <w:tc>
          <w:tcPr>
            <w:tcW w:w="30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 реабилитационного эффекта</w:t>
            </w:r>
          </w:p>
        </w:tc>
        <w:tc>
          <w:tcPr>
            <w:tcW w:w="28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 реабилитационного эффекта, балл</w:t>
            </w:r>
          </w:p>
        </w:tc>
      </w:tr>
      <w:tr>
        <w:tc>
          <w:tcPr>
            <w:tcW w:w="311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0 - 9</w:t>
            </w:r>
          </w:p>
        </w:tc>
        <w:tc>
          <w:tcPr>
            <w:tcW w:w="30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Отсутствует</w:t>
            </w:r>
          </w:p>
        </w:tc>
        <w:tc>
          <w:tcPr>
            <w:tcW w:w="28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</w:tr>
      <w:tr>
        <w:tc>
          <w:tcPr>
            <w:tcW w:w="311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10 - 54</w:t>
            </w:r>
          </w:p>
        </w:tc>
        <w:tc>
          <w:tcPr>
            <w:tcW w:w="30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Незначительный</w:t>
            </w:r>
          </w:p>
        </w:tc>
        <w:tc>
          <w:tcPr>
            <w:tcW w:w="28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311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55 - 75%</w:t>
            </w:r>
          </w:p>
        </w:tc>
        <w:tc>
          <w:tcPr>
            <w:tcW w:w="30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Удовлетворительный</w:t>
            </w:r>
          </w:p>
        </w:tc>
        <w:tc>
          <w:tcPr>
            <w:tcW w:w="289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311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 и &gt;</w:t>
            </w:r>
          </w:p>
        </w:tc>
        <w:tc>
          <w:tcPr>
            <w:tcW w:w="30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Высокий</w:t>
            </w:r>
          </w:p>
        </w:tc>
        <w:tc>
          <w:tcPr>
            <w:vMerge w:val="continue"/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Критерий "Удовлетворенность результатами оказанной услуги" (U) - субъективное, эмоционально-оценочное отношение инвалида к результатам оказания услуги. Полностью удовлетворен - субъективные ожидания, представления инвалида полностью совпали с результатами - 2 балла. Частично удовлетворен - субъективные ожидания, представления инвалида частично совпали с результатами - 1 балл. Отсутствует удовлетворенность - субъективные ожидания, представления инвалида совсем не совпали с результатами - 0 баллов.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эффективности реабилитации и абилитации в реабилитационной организации (K) рассчитывается по формуле: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K = P + C + R + U,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P - полнота выполнения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C - достижение конкретных целей;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R - реабилитационный эффект;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U - удовлетворенность инвалида результатами оказанной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признается результативной если общее количество баллов составляет 4 и более баллов. Если общее количество баллов менее 4, то социально-психологическая реабилитация и абилитация считается нерезультативной.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Данные социально-психологической диагностики первичной (входящей) и повторной (контрольной), а также суммарный балльный показатель результативности оказанной услуги заносятся в реабилитационную (абилитационную) карту.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реализации мероприятий и оказании услуги реабилитационные организации направляют в течение 10 рабочих дней со дня завершения курса (но не позднее даты окончания срока действия ИПРА инвалида) в соответствующий орган исполнительной власти субъекта Российской Федерации, который является исполнителем в соответствии с разработанной ИПРА инвалида.</w:t>
      </w:r>
    </w:p>
    <w:bookmarkStart w:id="1487" w:name="P1487"/>
    <w:bookmarkEnd w:id="148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Протокол оценки эффективности проведенного курса социально-психологической реабилитации и абилитации.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082"/>
        <w:gridCol w:w="850"/>
        <w:gridCol w:w="850"/>
        <w:gridCol w:w="907"/>
        <w:gridCol w:w="907"/>
        <w:gridCol w:w="850"/>
        <w:gridCol w:w="850"/>
        <w:gridCol w:w="850"/>
        <w:gridCol w:w="850"/>
        <w:gridCol w:w="907"/>
        <w:gridCol w:w="850"/>
      </w:tblGrid>
      <w:tr>
        <w:tc>
          <w:tcPr>
            <w:tcW w:w="408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Категории МКФ</w:t>
            </w:r>
          </w:p>
        </w:tc>
        <w:tc>
          <w:tcPr>
            <w:gridSpan w:val="5"/>
            <w:tcW w:w="43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Результаты социально-психологической диагностики первичной (входящей) (в баллах)</w:t>
            </w:r>
          </w:p>
        </w:tc>
        <w:tc>
          <w:tcPr>
            <w:gridSpan w:val="5"/>
            <w:tcW w:w="43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Результаты социально-психологической диагностики повторной (контрольной) (в баллах)</w:t>
            </w:r>
          </w:p>
        </w:tc>
      </w:tr>
      <w:tr>
        <w:tc>
          <w:tcPr>
            <w:vMerge w:val="continue"/>
          </w:tcPr>
          <w:p/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НЕТ затруднений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ЛЕГКИЕ затруднения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УМЕРЕННЫЕ затруднения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ТЯЖЕЛЫЕ затруднения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АБСОЛЮТНЫЕ затруднения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НЕТ затруднений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ЛЕГКИЕ затруднения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УМЕРЕННЫЕ затруднения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ТЯЖЕЛЫЕ затруднения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АБСОЛЮТНЫЕ затруднения</w:t>
            </w:r>
          </w:p>
        </w:tc>
      </w:tr>
      <w:tr>
        <w:tc>
          <w:tcPr>
            <w:vMerge w:val="continue"/>
          </w:tcPr>
          <w:p/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117 Интеллектуальные функции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126 Темперамент и личностные функции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130 Волевые и побудительные функции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140 Функции внимания</w:t>
            </w:r>
          </w:p>
        </w:tc>
        <w:tc>
          <w:tcPr>
            <w:gridSpan w:val="10"/>
            <w:tcW w:w="86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1400 Устойчивость внимания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1401 Переключение внимания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1402 Разделение внимания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1403 Сосредоточение внимания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144 Функции памяти</w:t>
            </w:r>
          </w:p>
        </w:tc>
        <w:tc>
          <w:tcPr>
            <w:gridSpan w:val="10"/>
            <w:tcW w:w="86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1440 Кратковременная память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1441 Долговременная память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147 Психомоторные функции</w:t>
            </w:r>
          </w:p>
        </w:tc>
        <w:tc>
          <w:tcPr>
            <w:gridSpan w:val="10"/>
            <w:tcW w:w="86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</w:pPr>
            <w:r>
              <w:rPr>
                <w:sz w:val="24"/>
              </w:rPr>
              <w:t xml:space="preserve">b 1470 Психомоторный контроль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1471 Качество психомоторных функций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152 Функции эмоций</w:t>
            </w:r>
          </w:p>
        </w:tc>
        <w:tc>
          <w:tcPr>
            <w:gridSpan w:val="10"/>
            <w:tcW w:w="86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1520 Адекватность эмоций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1521 Регуляция эмоций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156 Функции восприятия</w:t>
            </w:r>
          </w:p>
        </w:tc>
        <w:tc>
          <w:tcPr>
            <w:gridSpan w:val="10"/>
            <w:tcW w:w="86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1560 Слуховое восприятие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1561 Зрительное восприятие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1564 Тактильное восприятие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b 1565 Визуально пространственное восприятие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160 Функции мышления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b 172 Функции вычисления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130 Копирование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135 Повторение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166 Чтение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170 Письмо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240 Преодоление стресса и других психологических нагрузок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330 Речь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440 Использование точных движений кисти</w:t>
            </w:r>
          </w:p>
        </w:tc>
        <w:tc>
          <w:tcPr>
            <w:gridSpan w:val="10"/>
            <w:tcW w:w="86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d 4402 Манипулирование (пальцами и кистями рук)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710 Базисные межличностные взаимодействия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720 Сложные межличностные взаимодействия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730 Отношения с незнакомыми людьми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740 Формальные отношения</w:t>
            </w:r>
          </w:p>
        </w:tc>
        <w:tc>
          <w:tcPr>
            <w:gridSpan w:val="10"/>
            <w:tcW w:w="86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d 7400 Отношения с людьми, обладающими властью и авторитетом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d 7402 Отношения с равными по положению индивидами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750 Неформальные социальные отношения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760 Семейные отношения</w:t>
            </w:r>
          </w:p>
        </w:tc>
        <w:tc>
          <w:tcPr>
            <w:gridSpan w:val="10"/>
            <w:tcW w:w="86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d 7600 Отношения "родители-дети"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d 7601 Отношения "дети-родители"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d 7602 Отношения детей в семье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d 770 Интимные отношения</w:t>
            </w:r>
          </w:p>
        </w:tc>
        <w:tc>
          <w:tcPr>
            <w:gridSpan w:val="10"/>
            <w:tcW w:w="86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</w:pPr>
            <w:r>
              <w:rPr>
                <w:sz w:val="24"/>
              </w:rPr>
              <w:t xml:space="preserve">d 7701 Супружеские отношения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11"/>
            <w:tcW w:w="1275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Результат</w:t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исследуемых категорий МКФ, которым был присвоен балл от 4 до 1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(a)</w:t>
            </w:r>
          </w:p>
        </w:tc>
        <w:tc>
          <w:tcPr>
            <w:gridSpan w:val="5"/>
            <w:tcW w:w="43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Реабилитационный эффект по услуге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(R)</w:t>
            </w:r>
          </w:p>
        </w:tc>
        <w:tc>
          <w:tcPr>
            <w:gridSpan w:val="5"/>
            <w:tcW w:w="430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категорий МКФ, по которым наблюдается положительная динамика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(b)</w:t>
            </w:r>
          </w:p>
        </w:tc>
      </w:tr>
      <w:tr>
        <w:tc>
          <w:tcPr>
            <w:tcW w:w="408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436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R = ___ / ______ * 100% =</w:t>
            </w:r>
          </w:p>
        </w:tc>
        <w:tc>
          <w:tcPr>
            <w:gridSpan w:val="5"/>
            <w:tcW w:w="430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Общее количество категорий МКФ по услуге</w:t>
            </w:r>
          </w:p>
        </w:tc>
        <w:tc>
          <w:tcPr>
            <w:gridSpan w:val="5"/>
            <w:vMerge w:val="continue"/>
          </w:tcPr>
          <w:p/>
        </w:tc>
        <w:tc>
          <w:tcPr>
            <w:gridSpan w:val="5"/>
            <w:vMerge w:val="continue"/>
          </w:tcPr>
          <w:p/>
        </w:tc>
      </w:tr>
      <w:tr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  <w:tc>
          <w:tcPr>
            <w:gridSpan w:val="5"/>
            <w:vMerge w:val="continue"/>
          </w:tcPr>
          <w:p/>
        </w:tc>
        <w:tc>
          <w:tcPr>
            <w:gridSpan w:val="5"/>
            <w:vMerge w:val="continue"/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2"/>
      <w:headerReference w:type="first" r:id="rId32"/>
      <w:footerReference w:type="default" r:id="rId33"/>
      <w:footerReference w:type="first" r:id="rId33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10.04.2025 N 196н</w:t>
            <w:br/>
            <w:t>"Об утверждении Стандарта оказания услуги по социально-психологической реаби...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10.04.2025 N 196н</w:t>
            <w:br/>
            <w:t>"Об утверждении Стандарта оказания услуги по социально-психологической реаби...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022&amp;date=20.05.2025&amp;dst=471&amp;field=134&amp;demo=2" TargetMode = "External"/>
	<Relationship Id="rId8" Type="http://schemas.openxmlformats.org/officeDocument/2006/relationships/hyperlink" Target="https://login.consultant.ru/link/?req=doc&amp;base=LAW&amp;n=483022&amp;date=20.05.2025&amp;dst=512&amp;field=134&amp;demo=2" TargetMode = "External"/>
	<Relationship Id="rId9" Type="http://schemas.openxmlformats.org/officeDocument/2006/relationships/hyperlink" Target="https://login.consultant.ru/link/?req=doc&amp;base=LAW&amp;n=481937&amp;date=20.05.2025&amp;dst=100030&amp;field=134&amp;demo=2" TargetMode = "External"/>
	<Relationship Id="rId10" Type="http://schemas.openxmlformats.org/officeDocument/2006/relationships/hyperlink" Target="https://login.consultant.ru/link/?req=doc&amp;base=LAW&amp;n=484371&amp;date=20.05.2025&amp;demo=2" TargetMode = "External"/>
	<Relationship Id="rId11" Type="http://schemas.openxmlformats.org/officeDocument/2006/relationships/hyperlink" Target="https://login.consultant.ru/link/?req=doc&amp;base=LAW&amp;n=485076&amp;date=20.05.2025&amp;dst=100047&amp;field=134&amp;demo=2" TargetMode = "External"/>
	<Relationship Id="rId12" Type="http://schemas.openxmlformats.org/officeDocument/2006/relationships/hyperlink" Target="https://login.consultant.ru/link/?req=doc&amp;base=LAW&amp;n=485034&amp;date=20.05.2025&amp;dst=100036&amp;field=134&amp;demo=2" TargetMode = "External"/>
	<Relationship Id="rId13" Type="http://schemas.openxmlformats.org/officeDocument/2006/relationships/hyperlink" Target="https://login.consultant.ru/link/?req=doc&amp;base=LAW&amp;n=491714&amp;date=20.05.2025&amp;demo=2" TargetMode = "External"/>
	<Relationship Id="rId14" Type="http://schemas.openxmlformats.org/officeDocument/2006/relationships/hyperlink" Target="https://login.consultant.ru/link/?req=doc&amp;base=LAW&amp;n=497933&amp;date=20.05.2025&amp;dst=100094&amp;field=134&amp;demo=2" TargetMode = "External"/>
	<Relationship Id="rId15" Type="http://schemas.openxmlformats.org/officeDocument/2006/relationships/hyperlink" Target="https://login.consultant.ru/link/?req=doc&amp;base=OTN&amp;n=26841&amp;date=20.05.2025&amp;dst=104080&amp;field=134&amp;demo=2" TargetMode = "External"/>
	<Relationship Id="rId16" Type="http://schemas.openxmlformats.org/officeDocument/2006/relationships/hyperlink" Target="https://login.consultant.ru/link/?req=doc&amp;base=LAW&amp;n=334930&amp;date=20.05.2025&amp;demo=2" TargetMode = "External"/>
	<Relationship Id="rId17" Type="http://schemas.openxmlformats.org/officeDocument/2006/relationships/hyperlink" Target="https://login.consultant.ru/link/?req=doc&amp;base=LAW&amp;n=483022&amp;date=20.05.2025&amp;dst=35&amp;field=134&amp;demo=2" TargetMode = "External"/>
	<Relationship Id="rId18" Type="http://schemas.openxmlformats.org/officeDocument/2006/relationships/hyperlink" Target="https://login.consultant.ru/link/?req=doc&amp;base=LAW&amp;n=491714&amp;date=20.05.2025&amp;demo=2" TargetMode = "External"/>
	<Relationship Id="rId19" Type="http://schemas.openxmlformats.org/officeDocument/2006/relationships/hyperlink" Target="https://login.consultant.ru/link/?req=doc&amp;base=LAW&amp;n=485076&amp;date=20.05.2025&amp;demo=2" TargetMode = "External"/>
	<Relationship Id="rId20" Type="http://schemas.openxmlformats.org/officeDocument/2006/relationships/hyperlink" Target="https://login.consultant.ru/link/?req=doc&amp;base=LAW&amp;n=485034&amp;date=20.05.2025&amp;demo=2" TargetMode = "External"/>
	<Relationship Id="rId21" Type="http://schemas.openxmlformats.org/officeDocument/2006/relationships/hyperlink" Target="https://login.consultant.ru/link/?req=doc&amp;base=OTN&amp;n=26841&amp;date=20.05.2025&amp;demo=2" TargetMode = "External"/>
	<Relationship Id="rId22" Type="http://schemas.openxmlformats.org/officeDocument/2006/relationships/hyperlink" Target="https://login.consultant.ru/link/?req=doc&amp;base=LAW&amp;n=334930&amp;date=20.05.2025&amp;demo=2" TargetMode = "External"/>
	<Relationship Id="rId23" Type="http://schemas.openxmlformats.org/officeDocument/2006/relationships/hyperlink" Target="https://login.consultant.ru/link/?req=doc&amp;base=LAW&amp;n=485034&amp;date=20.05.2025&amp;demo=2" TargetMode = "External"/>
	<Relationship Id="rId24" Type="http://schemas.openxmlformats.org/officeDocument/2006/relationships/hyperlink" Target="https://login.consultant.ru/link/?req=doc&amp;base=LAW&amp;n=485034&amp;date=20.05.2025&amp;dst=101235&amp;field=134&amp;demo=2" TargetMode = "External"/>
	<Relationship Id="rId25" Type="http://schemas.openxmlformats.org/officeDocument/2006/relationships/hyperlink" Target="https://login.consultant.ru/link/?req=doc&amp;base=LAW&amp;n=485034&amp;date=20.05.2025&amp;dst=100013&amp;field=134&amp;demo=2" TargetMode = "External"/>
	<Relationship Id="rId26" Type="http://schemas.openxmlformats.org/officeDocument/2006/relationships/hyperlink" Target="https://login.consultant.ru/link/?req=doc&amp;base=LAW&amp;n=491714&amp;date=20.05.2025&amp;dst=100412&amp;field=134&amp;demo=2" TargetMode = "External"/>
	<Relationship Id="rId27" Type="http://schemas.openxmlformats.org/officeDocument/2006/relationships/hyperlink" Target="https://login.consultant.ru/link/?req=doc&amp;base=LAW&amp;n=491714&amp;date=20.05.2025&amp;demo=2" TargetMode = "External"/>
	<Relationship Id="rId28" Type="http://schemas.openxmlformats.org/officeDocument/2006/relationships/hyperlink" Target="https://login.consultant.ru/link/?req=doc&amp;base=LAW&amp;n=483022&amp;date=20.05.2025&amp;dst=252&amp;field=134&amp;demo=2" TargetMode = "External"/>
	<Relationship Id="rId29" Type="http://schemas.openxmlformats.org/officeDocument/2006/relationships/hyperlink" Target="https://login.consultant.ru/link/?req=doc&amp;base=OTN&amp;n=26669&amp;date=20.05.2025&amp;demo=2" TargetMode = "External"/>
	<Relationship Id="rId30" Type="http://schemas.openxmlformats.org/officeDocument/2006/relationships/hyperlink" Target="https://login.consultant.ru/link/?req=doc&amp;base=LAW&amp;n=334929&amp;date=20.05.2025&amp;demo=2" TargetMode = "External"/>
	<Relationship Id="rId31" Type="http://schemas.openxmlformats.org/officeDocument/2006/relationships/hyperlink" Target="https://login.consultant.ru/link/?req=doc&amp;base=LAW&amp;n=485034&amp;date=20.05.2025&amp;demo=2" TargetMode = "External"/>
	<Relationship Id="rId32" Type="http://schemas.openxmlformats.org/officeDocument/2006/relationships/header" Target="header2.xml"/>
	<Relationship Id="rId33" Type="http://schemas.openxmlformats.org/officeDocument/2006/relationships/footer" Target="footer2.xml"/>
	<Relationship Id="rId34" Type="http://schemas.openxmlformats.org/officeDocument/2006/relationships/hyperlink" Target="https://login.consultant.ru/link/?req=doc&amp;base=OTN&amp;n=26841&amp;date=20.05.2025&amp;dst=100634&amp;field=134&amp;demo=2" TargetMode = "External"/>
	<Relationship Id="rId35" Type="http://schemas.openxmlformats.org/officeDocument/2006/relationships/hyperlink" Target="https://login.consultant.ru/link/?req=doc&amp;base=OTN&amp;n=26841&amp;date=20.05.2025&amp;dst=100842&amp;field=134&amp;demo=2" TargetMode = "External"/>
	<Relationship Id="rId36" Type="http://schemas.openxmlformats.org/officeDocument/2006/relationships/hyperlink" Target="https://login.consultant.ru/link/?req=doc&amp;base=OTN&amp;n=26841&amp;date=20.05.2025&amp;dst=100846&amp;field=134&amp;demo=2" TargetMode = "External"/>
	<Relationship Id="rId37" Type="http://schemas.openxmlformats.org/officeDocument/2006/relationships/hyperlink" Target="https://login.consultant.ru/link/?req=doc&amp;base=OTN&amp;n=26841&amp;date=20.05.2025&amp;dst=100848&amp;field=134&amp;demo=2" TargetMode = "External"/>
	<Relationship Id="rId38" Type="http://schemas.openxmlformats.org/officeDocument/2006/relationships/hyperlink" Target="https://login.consultant.ru/link/?req=doc&amp;base=OTN&amp;n=26841&amp;date=20.05.2025&amp;dst=100851&amp;field=134&amp;demo=2" TargetMode = "External"/>
	<Relationship Id="rId39" Type="http://schemas.openxmlformats.org/officeDocument/2006/relationships/hyperlink" Target="https://login.consultant.ru/link/?req=doc&amp;base=OTN&amp;n=26841&amp;date=20.05.2025&amp;dst=100851&amp;field=134&amp;demo=2" TargetMode = "External"/>
	<Relationship Id="rId40" Type="http://schemas.openxmlformats.org/officeDocument/2006/relationships/hyperlink" Target="https://login.consultant.ru/link/?req=doc&amp;base=OTN&amp;n=26841&amp;date=20.05.2025&amp;dst=100854&amp;field=134&amp;demo=2" TargetMode = "External"/>
	<Relationship Id="rId41" Type="http://schemas.openxmlformats.org/officeDocument/2006/relationships/hyperlink" Target="https://login.consultant.ru/link/?req=doc&amp;base=OTN&amp;n=26841&amp;date=20.05.2025&amp;dst=100857&amp;field=134&amp;demo=2" TargetMode = "External"/>
	<Relationship Id="rId42" Type="http://schemas.openxmlformats.org/officeDocument/2006/relationships/hyperlink" Target="https://login.consultant.ru/link/?req=doc&amp;base=OTN&amp;n=26841&amp;date=20.05.2025&amp;dst=100860&amp;field=134&amp;demo=2" TargetMode = "External"/>
	<Relationship Id="rId43" Type="http://schemas.openxmlformats.org/officeDocument/2006/relationships/hyperlink" Target="https://login.consultant.ru/link/?req=doc&amp;base=OTN&amp;n=26841&amp;date=20.05.2025&amp;dst=100860&amp;field=134&amp;demo=2" TargetMode = "External"/>
	<Relationship Id="rId44" Type="http://schemas.openxmlformats.org/officeDocument/2006/relationships/hyperlink" Target="https://login.consultant.ru/link/?req=doc&amp;base=OTN&amp;n=26841&amp;date=20.05.2025&amp;dst=100862&amp;field=134&amp;demo=2" TargetMode = "External"/>
	<Relationship Id="rId45" Type="http://schemas.openxmlformats.org/officeDocument/2006/relationships/hyperlink" Target="https://login.consultant.ru/link/?req=doc&amp;base=OTN&amp;n=26841&amp;date=20.05.2025&amp;dst=100865&amp;field=134&amp;demo=2" TargetMode = "External"/>
	<Relationship Id="rId46" Type="http://schemas.openxmlformats.org/officeDocument/2006/relationships/hyperlink" Target="https://login.consultant.ru/link/?req=doc&amp;base=OTN&amp;n=26841&amp;date=20.05.2025&amp;dst=100637&amp;field=134&amp;demo=2" TargetMode = "External"/>
	<Relationship Id="rId47" Type="http://schemas.openxmlformats.org/officeDocument/2006/relationships/hyperlink" Target="https://login.consultant.ru/link/?req=doc&amp;base=OTN&amp;n=26841&amp;date=20.05.2025&amp;dst=100707&amp;field=134&amp;demo=2" TargetMode = "External"/>
	<Relationship Id="rId48" Type="http://schemas.openxmlformats.org/officeDocument/2006/relationships/hyperlink" Target="https://login.consultant.ru/link/?req=doc&amp;base=OTN&amp;n=26841&amp;date=20.05.2025&amp;dst=100715&amp;field=134&amp;demo=2" TargetMode = "External"/>
	<Relationship Id="rId49" Type="http://schemas.openxmlformats.org/officeDocument/2006/relationships/hyperlink" Target="https://login.consultant.ru/link/?req=doc&amp;base=OTN&amp;n=26841&amp;date=20.05.2025&amp;dst=100723&amp;field=134&amp;demo=2" TargetMode = "External"/>
	<Relationship Id="rId50" Type="http://schemas.openxmlformats.org/officeDocument/2006/relationships/hyperlink" Target="https://login.consultant.ru/link/?req=doc&amp;base=OTN&amp;n=26841&amp;date=20.05.2025&amp;dst=100723&amp;field=134&amp;demo=2" TargetMode = "External"/>
	<Relationship Id="rId51" Type="http://schemas.openxmlformats.org/officeDocument/2006/relationships/hyperlink" Target="https://login.consultant.ru/link/?req=doc&amp;base=OTN&amp;n=26841&amp;date=20.05.2025&amp;dst=100723&amp;field=134&amp;demo=2" TargetMode = "External"/>
	<Relationship Id="rId52" Type="http://schemas.openxmlformats.org/officeDocument/2006/relationships/hyperlink" Target="https://login.consultant.ru/link/?req=doc&amp;base=OTN&amp;n=26841&amp;date=20.05.2025&amp;dst=100742&amp;field=134&amp;demo=2" TargetMode = "External"/>
	<Relationship Id="rId53" Type="http://schemas.openxmlformats.org/officeDocument/2006/relationships/hyperlink" Target="https://login.consultant.ru/link/?req=doc&amp;base=OTN&amp;n=26841&amp;date=20.05.2025&amp;dst=100745&amp;field=134&amp;demo=2" TargetMode = "External"/>
	<Relationship Id="rId54" Type="http://schemas.openxmlformats.org/officeDocument/2006/relationships/hyperlink" Target="https://login.consultant.ru/link/?req=doc&amp;base=OTN&amp;n=26841&amp;date=20.05.2025&amp;dst=100752&amp;field=134&amp;demo=2" TargetMode = "External"/>
	<Relationship Id="rId55" Type="http://schemas.openxmlformats.org/officeDocument/2006/relationships/hyperlink" Target="https://login.consultant.ru/link/?req=doc&amp;base=OTN&amp;n=26841&amp;date=20.05.2025&amp;dst=100827&amp;field=134&amp;demo=2" TargetMode = "External"/>
	<Relationship Id="rId56" Type="http://schemas.openxmlformats.org/officeDocument/2006/relationships/hyperlink" Target="https://login.consultant.ru/link/?req=doc&amp;base=OTN&amp;n=26841&amp;date=20.05.2025&amp;dst=103243&amp;field=134&amp;demo=2" TargetMode = "External"/>
	<Relationship Id="rId57" Type="http://schemas.openxmlformats.org/officeDocument/2006/relationships/hyperlink" Target="https://login.consultant.ru/link/?req=doc&amp;base=OTN&amp;n=26841&amp;date=20.05.2025&amp;dst=103057&amp;field=134&amp;demo=2" TargetMode = "External"/>
	<Relationship Id="rId58" Type="http://schemas.openxmlformats.org/officeDocument/2006/relationships/hyperlink" Target="https://login.consultant.ru/link/?req=doc&amp;base=OTN&amp;n=26841&amp;date=20.05.2025&amp;dst=103104&amp;field=134&amp;demo=2" TargetMode = "External"/>
	<Relationship Id="rId59" Type="http://schemas.openxmlformats.org/officeDocument/2006/relationships/hyperlink" Target="https://login.consultant.ru/link/?req=doc&amp;base=LAW&amp;n=485034&amp;date=20.05.2025&amp;demo=2" TargetMode = "External"/>
	<Relationship Id="rId60" Type="http://schemas.openxmlformats.org/officeDocument/2006/relationships/hyperlink" Target="https://login.consultant.ru/link/?req=doc&amp;base=OTN&amp;n=26841&amp;date=20.05.2025&amp;demo=2" TargetMode = "External"/>
	<Relationship Id="rId61" Type="http://schemas.openxmlformats.org/officeDocument/2006/relationships/hyperlink" Target="https://login.consultant.ru/link/?req=doc&amp;base=OTN&amp;n=26841&amp;date=20.05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10.04.2025 N 196н
"Об утверждении Стандарта оказания услуги по социально-психологической реабилитации и абилитации инвалидов, получивших травму, ранение, контузию, увечье в связи с боевыми действиями"
(Зарегистрировано в Минюсте России 15.05.2025 N 82192)</dc:title>
  <dcterms:created xsi:type="dcterms:W3CDTF">2025-05-20T16:27:42Z</dcterms:created>
</cp:coreProperties>
</file>