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Минздрава России от 14.04.2025 N 210н</w:t>
              <w:br/>
              <w:t xml:space="preserve">"Об утверждении Порядка обеспечения условий доступности для инвалидов объектов инфраструктуры государственной, муниципальной и частной систем здравоохранения и предоставляемых услуг в сфере охраны здоровья, а также оказания им при этом необходимой помощи"</w:t>
              <w:br/>
              <w:t xml:space="preserve">(Зарегистрировано в Минюсте России 20.05.2025 N 82238)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21.05.2025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20 мая 2025 г. N 82238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ЗДРАВООХРАНЕНИЯ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14 апреля 2025 г. N 210н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</w:t>
      </w:r>
    </w:p>
    <w:p>
      <w:pPr>
        <w:pStyle w:val="2"/>
        <w:jc w:val="center"/>
      </w:pPr>
      <w:r>
        <w:rPr>
          <w:sz w:val="24"/>
        </w:rPr>
        <w:t xml:space="preserve">ОБЕСПЕЧЕНИЯ УСЛОВИЙ ДОСТУПНОСТИ ДЛЯ ИНВАЛИДОВ ОБЪЕКТОВ</w:t>
      </w:r>
    </w:p>
    <w:p>
      <w:pPr>
        <w:pStyle w:val="2"/>
        <w:jc w:val="center"/>
      </w:pPr>
      <w:r>
        <w:rPr>
          <w:sz w:val="24"/>
        </w:rPr>
        <w:t xml:space="preserve">ИНФРАСТРУКТУРЫ ГОСУДАРСТВЕННОЙ, МУНИЦИПАЛЬНОЙ И ЧАСТНОЙ</w:t>
      </w:r>
    </w:p>
    <w:p>
      <w:pPr>
        <w:pStyle w:val="2"/>
        <w:jc w:val="center"/>
      </w:pPr>
      <w:r>
        <w:rPr>
          <w:sz w:val="24"/>
        </w:rPr>
        <w:t xml:space="preserve">СИСТЕМ ЗДРАВООХРАНЕНИЯ И ПРЕДОСТАВЛЯЕМЫХ УСЛУГ В СФЕРЕ</w:t>
      </w:r>
    </w:p>
    <w:p>
      <w:pPr>
        <w:pStyle w:val="2"/>
        <w:jc w:val="center"/>
      </w:pPr>
      <w:r>
        <w:rPr>
          <w:sz w:val="24"/>
        </w:rPr>
        <w:t xml:space="preserve">ОХРАНЫ ЗДОРОВЬЯ, А ТАКЖЕ ОКАЗАНИЯ ИМ ПРИ ЭТОМ</w:t>
      </w:r>
    </w:p>
    <w:p>
      <w:pPr>
        <w:pStyle w:val="2"/>
        <w:jc w:val="center"/>
      </w:pPr>
      <w:r>
        <w:rPr>
          <w:sz w:val="24"/>
        </w:rPr>
        <w:t xml:space="preserve">НЕОБХОДИМОЙ ПОМОЩИ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частью второй статьи 15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Федерации", </w:t>
      </w:r>
      <w:hyperlink w:history="0" r:id="rId8" w:tooltip="Постановление Правительства РФ от 19.06.2012 N 608 (ред. от 24.04.2025) &quot;Об утверждении Положения о Министерстве здравоохранения Российской Федерации&quot;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Положения о Министерстве здравоохранения Российской Федерации, утвержденного постановлением Правительства Российской Федерации от 19 июня 2012 г. N 608,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прилагаемый </w:t>
      </w:r>
      <w:hyperlink w:history="0" w:anchor="P33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обеспечения условий доступности для инвалидов объектов инфраструктуры государственной, муниципальной и частной систем здравоохранения и предоставляемых услуг в сфере охраны здоровья, а также оказания им при этом необходимой помощи.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w:history="0" r:id="rId9" w:tooltip="Приказ Минздрава России от 12.11.2015 N 802н &quot;Об утверждении Порядка обеспечения условий доступности для инвалидов объектов инфраструктуры государственной, муниципальной и частной систем здравоохранения и предоставляемых услуг в сфере охраны здоровья, а также оказания им при этом необходимой помощи&quot; (Зарегистрировано в Минюсте России 04.12.2015 N 39976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здравоохранения Российской Федерации от 12 ноября 2015 г. N 802н "Об утверждении Порядка обеспечения условий доступности для инвалидов объектов инфраструктуры государственной, муниципальной и частной систем здравоохранения и предоставляемых услуг в сфере охраны здоровья, а также оказания им при этом необходимой помощи" (зарегистрирован Министерством юстиции Российской Федерации 4 декабря 2015 г., регистрационный N 39976).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Настоящий приказ вступает в силу с 1 сентября 2025 г. и действует до 1 сентября 2031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М.А.МУРАШКО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14 апреля 2025 г. N 210н</w:t>
      </w:r>
    </w:p>
    <w:p>
      <w:pPr>
        <w:pStyle w:val="0"/>
        <w:jc w:val="right"/>
      </w:pPr>
      <w:r>
        <w:rPr>
          <w:sz w:val="24"/>
        </w:rPr>
      </w:r>
    </w:p>
    <w:bookmarkStart w:id="33" w:name="P33"/>
    <w:bookmarkEnd w:id="33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ОБЕСПЕЧЕНИЯ УСЛОВИЙ ДОСТУПНОСТИ ДЛЯ ИНВАЛИДОВ ОБЪЕКТОВ</w:t>
      </w:r>
    </w:p>
    <w:p>
      <w:pPr>
        <w:pStyle w:val="2"/>
        <w:jc w:val="center"/>
      </w:pPr>
      <w:r>
        <w:rPr>
          <w:sz w:val="24"/>
        </w:rPr>
        <w:t xml:space="preserve">ИНФРАСТРУКТУРЫ ГОСУДАРСТВЕННОЙ, МУНИЦИПАЛЬНОЙ И ЧАСТНОЙ</w:t>
      </w:r>
    </w:p>
    <w:p>
      <w:pPr>
        <w:pStyle w:val="2"/>
        <w:jc w:val="center"/>
      </w:pPr>
      <w:r>
        <w:rPr>
          <w:sz w:val="24"/>
        </w:rPr>
        <w:t xml:space="preserve">СИСТЕМ ЗДРАВООХРАНЕНИЯ И ПРЕДОСТАВЛЯЕМЫХ УСЛУГ В СФЕРЕ</w:t>
      </w:r>
    </w:p>
    <w:p>
      <w:pPr>
        <w:pStyle w:val="2"/>
        <w:jc w:val="center"/>
      </w:pPr>
      <w:r>
        <w:rPr>
          <w:sz w:val="24"/>
        </w:rPr>
        <w:t xml:space="preserve">ОХРАНЫ ЗДОРОВЬЯ, А ТАКЖЕ ОКАЗАНИЯ ИМ ПРИ ЭТОМ</w:t>
      </w:r>
    </w:p>
    <w:p>
      <w:pPr>
        <w:pStyle w:val="2"/>
        <w:jc w:val="center"/>
      </w:pPr>
      <w:r>
        <w:rPr>
          <w:sz w:val="24"/>
        </w:rPr>
        <w:t xml:space="preserve">НЕОБХОДИМОЙ ПОМОЩИ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Органы и организации государственной, муниципальной и частной систем здравоохранения &lt;1&gt; независимо от их организационно-правовых форм, предоставляющие услуги в сфере охраны здоровья в рамках осуществления деятельности и оказывающие необходимую помощь инвалидам в преодолении барьеров, препятствующих получению этих услуг (использованию помещений, зданий и иных сооружений, используемых для предоставления услуг инвалидам в сфере охраны здоровья (далее соответственно - органы и организации, предоставляющие услуги, объекты, услуги), обеспечивают инвалидам: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10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Статья 29</w:t>
        </w:r>
      </w:hyperlink>
      <w:r>
        <w:rPr>
          <w:sz w:val="24"/>
        </w:rPr>
        <w:t xml:space="preserve"> Федерального закона от 21 ноября 2011 г. N 323-ФЗ "Об основах охраны здоровья граждан в Российской Федерации" (далее - Федеральный закон от 21 ноября 2011 г. N 323-ФЗ).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условия для беспрепятственного доступа к объектам и предоставляемым в них услугам;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возможность самостоятельного или с помощью сотрудников, предоставляющих услуги, передвижения по территории, на которой расположены объекты, входа в такие объекты и выхода из них;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возможность самостоятельного или с помощью сотрудников, предоставляющих услуги, посадки в транспортное средство и высадки из него перед входом на объекты, в том числе с использованием кресла-коляски и при необходимости с помощью сотрудников, предоставляющих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сопровождение инвалидов, имеющих стойкие расстройства функции зрения и самостоятельного передвижения, и оказание им помощи на объектах;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обеспечение допуска на объекты и (или) помещения, относящиеся к классу чистоты Г, определяемого в соответствии с Предельными значениями содержания общего количества микроорганизмов в 1 м</w:t>
      </w:r>
      <w:r>
        <w:rPr>
          <w:sz w:val="24"/>
          <w:vertAlign w:val="superscript"/>
        </w:rPr>
        <w:t xml:space="preserve">3</w:t>
      </w:r>
      <w:r>
        <w:rPr>
          <w:sz w:val="24"/>
        </w:rPr>
        <w:t xml:space="preserve"> с учетом температуры и кратности воздухообмена &lt;2&gt;, собаки-проводника при наличии документа, подтверждающего ее специальное обучение &lt;3&gt;;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11" w:tooltip="Постановление Главного государственного санитарного врача РФ от 24.12.2020 N 44 (ред. от 20.03.2024) &quot;Об утверждении санитарных правил СП 2.1.3678-20 &quot;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&quot; (Зарегистрировано в Минюсте России 30.12.2020 N 61953) {КонсультантПлюс}">
        <w:r>
          <w:rPr>
            <w:sz w:val="24"/>
            <w:color w:val="0000ff"/>
          </w:rPr>
          <w:t xml:space="preserve">Приложение N 3</w:t>
        </w:r>
      </w:hyperlink>
      <w:r>
        <w:rPr>
          <w:sz w:val="24"/>
        </w:rPr>
        <w:t xml:space="preserve"> к санитарным правилам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услуг", утвержденным постановлением Главного государственного санитарного врача Российской Федерации от 24 декабря 2020 г. N 44 (зарегистрировано Министерством юстиции Российской Федерации 30 декабря 2020 г., регистрационный N 61953), с изменениями, внесенными постановлениями Главного государственного санитарного врача Российской Федерации от 14 апреля 2022 г. N 12 (зарегистрировано Министерством юстиции Российской Федерации 15 апреля 2022 г., регистрационный N 68213), от 20 марта 2024 г. N 2 (зарегистрировано Министерством юстиции Российской Федерации 12 июля 2024 г., регистрационный N 78805), действующим до 1 января 2027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12" w:tooltip="Приказ Минтруда России от 22.06.2015 N 386н &quot;Об утверждении формы документа, подтверждающего специальное обучение собаки-проводника, и порядка его выдачи&quot; (Зарегистрировано в Минюсте России 21.07.2015 N 38115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22 июня 2015 г. N 386н "Об утверждении формы документа, подтверждающего специальное обучение собаки-проводника, и порядка его выдачи" (зарегистрирован Министерством юстиции Российской Федерации 21 июля 2015 г., регистрационный N 38115).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размещение оборудования и носителей информации, необходимых для обеспечения беспрепятственного доступа инвалидов к объектам и услугам с учетом ограничений их жизнедеятельности;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переводчика русского жестового языка (сурдопереводчика, тифлосурдопереводчика) &lt;4&gt;;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13" w:tooltip="Постановление Правительства РФ от 25.09.2007 N 608 (ред. от 18.12.2024) &quot;О порядке предоставления инвалидам услуг по переводу русского жестового языка (сурдопереводу, тифлосурдопереводу)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25 сентября 2007 г. N 608 "О порядке предоставления инвалидам услуг по переводу русского жестового языка (сурдопереводу, тифлосурдопереводу)".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оказание сотрудниками, предоставляющими услуги, иной необходимой инвалидам помощи в преодолении барьеров, мешающих получению услуг и использованию объектов;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необходимости оказание инвалидам помощи, необходимой для получения в доступной для них форме информации о правилах предоставления услуги, в том числе об оформлении необходимых для получения услуги документов, о совершении ими других необходимых для получения услуги действий;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размещение помещений, в которых предоставляются услуги, преимущественно на нижних этажах зданий;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оборудование на прилегающих к объекту территориях мест для парковки автотранспортных средств инвалидов;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оснащение медицинских организаций оборудованием для оказания медицинской помощи с учетом особых потребностей инвалидов и других групп населения с ограниченными возможностями здоровья &lt;5&gt; в соответствии с порядками оказания медицинской помощи &lt;6&gt;, положениями об организации оказания медицинской помощи по видам &lt;7&gt;, правилами проведения лабораторных, инструментальных, патолого-анатомических и иных видов диагностических исследований &lt;8&gt;, порядком использования вспомогательных репродуктивных технологий &lt;9&gt;, порядками организации и проведения медицинских экспертиз &lt;10&gt;, медицинских осмотров &lt;11&gt;, медицинского освидетельствования &lt;12&gt;, порядками организации медицинской реабилитации и санаторно-курортного лечения &lt;13&gt;.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</w:t>
      </w:r>
      <w:hyperlink w:history="0" r:id="rId14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 9 статьи 10</w:t>
        </w:r>
      </w:hyperlink>
      <w:r>
        <w:rPr>
          <w:sz w:val="24"/>
        </w:rPr>
        <w:t xml:space="preserve"> Федерального закона от 21 ноября 2011 г. N 323-ФЗ.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</w:t>
      </w:r>
      <w:hyperlink w:history="0" r:id="rId15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 2 части 1 статьи 37</w:t>
        </w:r>
      </w:hyperlink>
      <w:r>
        <w:rPr>
          <w:sz w:val="24"/>
        </w:rPr>
        <w:t xml:space="preserve"> Федерального закона от 21 ноября 2011 г. N 323-ФЗ.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&lt;7&gt; </w:t>
      </w:r>
      <w:hyperlink w:history="0" r:id="rId16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 1 части 1 статьи 37</w:t>
        </w:r>
      </w:hyperlink>
      <w:r>
        <w:rPr>
          <w:sz w:val="24"/>
        </w:rPr>
        <w:t xml:space="preserve"> Федерального закона от 21 ноября 2011 г. N 323-ФЗ.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&lt;8&gt; </w:t>
      </w:r>
      <w:hyperlink w:history="0" r:id="rId17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 19 части 2 статьи 14</w:t>
        </w:r>
      </w:hyperlink>
      <w:r>
        <w:rPr>
          <w:sz w:val="24"/>
        </w:rPr>
        <w:t xml:space="preserve"> Федерального закона от 21 ноября 2011 г. N 323-ФЗ.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&lt;9&gt; </w:t>
      </w:r>
      <w:hyperlink w:history="0" r:id="rId18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 2 статьи 55</w:t>
        </w:r>
      </w:hyperlink>
      <w:r>
        <w:rPr>
          <w:sz w:val="24"/>
        </w:rPr>
        <w:t xml:space="preserve"> Федерального закона от 21 ноября 2011 г. N 323-ФЗ.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&lt;10&gt; </w:t>
      </w:r>
      <w:hyperlink w:history="0" r:id="rId19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 8 части 2 статьи 14</w:t>
        </w:r>
      </w:hyperlink>
      <w:r>
        <w:rPr>
          <w:sz w:val="24"/>
        </w:rPr>
        <w:t xml:space="preserve"> Федерального закона от 21 ноября 2011 г. N 323-ФЗ.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&lt;11&gt; </w:t>
      </w:r>
      <w:hyperlink w:history="0" r:id="rId20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 14 части 2 статьи 14</w:t>
        </w:r>
      </w:hyperlink>
      <w:r>
        <w:rPr>
          <w:sz w:val="24"/>
        </w:rPr>
        <w:t xml:space="preserve"> Федерального закона от 21 ноября 2011 г. N 323-ФЗ.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&lt;12&gt; </w:t>
      </w:r>
      <w:hyperlink w:history="0" r:id="rId21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 4 статьи 65</w:t>
        </w:r>
      </w:hyperlink>
      <w:r>
        <w:rPr>
          <w:sz w:val="24"/>
        </w:rPr>
        <w:t xml:space="preserve"> Федерального закона от 21 ноября 2011 г. N 323-ФЗ.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&lt;13&gt; </w:t>
      </w:r>
      <w:hyperlink w:history="0" r:id="rId22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 5 статьи 40</w:t>
        </w:r>
      </w:hyperlink>
      <w:r>
        <w:rPr>
          <w:sz w:val="24"/>
        </w:rPr>
        <w:t xml:space="preserve"> Федерального закона от 21 ноября 2011 г. N 323-ФЗ.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Органы и организации государственной и муниципальной систем здравоохранения &lt;14&gt;, предоставляющие услуги в сфере охраны здоровья в рамках осуществления деятельности и оказывающие необходимую помощь инвалидам, обеспечивают условия доступности для инвалидов по зрению официальных сайтов в информационно-телекоммуникационной сети "Интернет" в </w:t>
      </w:r>
      <w:hyperlink w:history="0" r:id="rId23" w:tooltip="Приказ Минцифры России от 07.11.2023 N 953 &quot;Об утверждении Порядка обеспечения условий доступности для инвалидов по зрению официальных сайтов государственных органов, органов местного самоуправления и подведомственных организаций в информационно-телекоммуникационной сети &quot;Интернет&quot; (Зарегистрировано в Минюсте России 02.02.2024 N 77113) {КонсультантПлюс}">
        <w:r>
          <w:rPr>
            <w:sz w:val="24"/>
            <w:color w:val="0000ff"/>
          </w:rPr>
          <w:t xml:space="preserve">порядке</w:t>
        </w:r>
      </w:hyperlink>
      <w:r>
        <w:rPr>
          <w:sz w:val="24"/>
        </w:rPr>
        <w:t xml:space="preserve">, установленном приказом Министерства цифрового развития, связи и массовых коммуникаций Российской Федерации от 7 ноября 2023 г. N 953 &lt;15&gt;.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&lt;14&gt; </w:t>
      </w:r>
      <w:hyperlink w:history="0" r:id="rId24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Статья 29</w:t>
        </w:r>
      </w:hyperlink>
      <w:r>
        <w:rPr>
          <w:sz w:val="24"/>
        </w:rPr>
        <w:t xml:space="preserve"> Федерального закона от 21 ноября 2011 г. N 323-ФЗ.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&lt;15&gt; Зарегистрирован Министерством юстиции Российской Федерации 2 февраля 2024 г., регистрационный N 77113.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Органами и организациями, предоставляющими услуги, осуществляются меры по обеспечению проектирования, строительства и приемки вновь вводимых в эксплуатацию, прошедших капитальный ремонт, реконструкцию, модернизацию объектов, а также по обеспечению закупки транспортных средств для обслуживания инвалидов с соблюдением условий их доступности, установленных </w:t>
      </w:r>
      <w:hyperlink w:history="0" r:id="rId25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статьей 15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 &lt;16&gt;, а также национальными стандартами Российской Федерации и (или) сводами правил (части национального стандарта Российской Федерации и (или) части свода правил), предусматривающими требования, указанные в </w:t>
      </w:r>
      <w:hyperlink w:history="0" r:id="rId26" w:tooltip="Федеральный закон от 30.12.2009 N 384-ФЗ (ред. от 25.12.2023) &quot;Технический регламент о безопасности зданий и сооружений&quot; {КонсультантПлюс}">
        <w:r>
          <w:rPr>
            <w:sz w:val="24"/>
            <w:color w:val="0000ff"/>
          </w:rPr>
          <w:t xml:space="preserve">части 2 статьи 6</w:t>
        </w:r>
      </w:hyperlink>
      <w:r>
        <w:rPr>
          <w:sz w:val="24"/>
        </w:rPr>
        <w:t xml:space="preserve"> Федерального закона от 30 декабря 2009 г. N 384-ФЗ "Технический регламент о безопасности зданий и сооружений" &lt;17&gt;, включенные в реестр требований, подлежащих применению при выполнении инженерных изысканий, осуществлении архитектурно-строительного проектирования, проведении экспертизы проектной документации и (или) экспертизы результатов инженерных изысканий, строительстве, реконструкции, капитальном ремонте, эксплуатации и сносе объектов капитального строительства &lt;18&gt;, в том числе национальными стандартами Российской Федерации и (или) сводами правил (части национального стандарта Российской Федерации и (или) части свода правил), в результате применения которых обеспечивается соблюдение установленных Федеральным </w:t>
      </w:r>
      <w:hyperlink w:history="0" r:id="rId27" w:tooltip="Федеральный закон от 30.12.2009 N 384-ФЗ (ред. от 25.12.2023) &quot;Технический регламент о безопасности зданий и сооружений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30 декабря 2009 г. N 384-ФЗ требований доступности зданий и сооружений для инвалидов и других групп населения с ограниченными возможностями передвижения.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&lt;16&gt; Далее - Федеральный закон от 24 ноября 1995 г. N 181-ФЗ.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&lt;17&gt; Далее - Федеральный закон от 30 декабря 2009 г. N 384-ФЗ.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&lt;18&gt; </w:t>
      </w:r>
      <w:hyperlink w:history="0" r:id="rId28" w:tooltip="Постановление Правительства РФ от 31.08.2023 N 1417 (ред. от 04.04.2025) &quot;Об утверждении Правил формирования и ведения реестра требований, подлежащих применению при выполнении инженерных изысканий, осуществлении архитектурно-строительного проектирования, проведении экспертизы проектной документации и (или) экспертизы результатов инженерных изысканий, строительстве, реконструкции, капитальном ремонте, эксплуатации и сносе объектов капитального строительства, выявления, устранения противоречий между требовани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31 августа 2023 г. N 1417 "Об утверждении Правил формирования и ведения реестра требований, подлежащих применению при выполнении инженерных изысканий, осуществлении архитектурно-строительного проектирования, проведении экспертизы проектной документации и (или) экспертизы результатов инженерных изысканий, строительстве, реконструкции, капитальном ремонте, эксплуатации и сносе объектов капитального строительства, выявления, устранения противоречий между требованиями, включенными в реестр требований, а также между требованиями, включенными в реестр требований, и проектами документов, содержащими требования, подлежащие включению в реестр требований".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4. Руководители органов и организаций, предоставляющих услуги, организуют инструктирование или обучение специалистов, работающих с инвалидами, по вопросам, связанным с обеспечением доступности для инвалидов объектов и услуг с учетом имеющихся у них стойких расстройств функций организма и ограничений жизнедеятельности.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Собственники объектов, где инвалидам предоставляются услуги, которые невозможно полностью приспособить к потребностям инвалидов, принимают (до их реконструкции или капитального ремонта) согласованные с одним из общественных объединений инвалидов, осуществляющих свою деятельность на территории поселения, муниципального района, муниципального округа, городского округа, меры для обеспечения доступа инвалидов к месту предоставления услуг либо, когда это возможно обеспечить, для предоставления необходимых услуг по месту жительства инвалидов или в дистанционном режиме.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Органы и организации, предоставляющие услуги, на арендуемых объектах, которые невозможно полностью приспособить к потребностям инвалидов, принимают меры по дополнению соглашений с арендодателями либо по включению в договоры аренды условий об исполнении собственником объекта требований по обеспечению условий доступности для инвалидов объектов и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В целях определения мер по поэтапному повышению уровня условий доступности для инвалидов объектов и услуг проводится обследование, по результатам которого составляется паспорт доступности для инвалидов объекта и предоставляемых на нем услуг (далее соответственно - обследование и паспортизация, Паспорт).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Паспорт содержит следующие разделы: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краткая характеристика объекта и предоставляемых на нем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соответствия уровня доступности для инвалидов объектов и имеющихся недостатков в обеспечении условий их доступности для инвалидов с использованием показателей доступности для инвалидов объектов и услуг в сфере охраны здоровья (далее - показатели), предусмотренных </w:t>
      </w:r>
      <w:hyperlink w:history="0" w:anchor="P95" w:tooltip="9. Оценка соответствия уровня доступности для инвалидов объектов и услуг осуществляется органами и организациями, предоставляющими услуги, с использованием следующих показателей:">
        <w:r>
          <w:rPr>
            <w:sz w:val="24"/>
            <w:color w:val="0000ff"/>
          </w:rPr>
          <w:t xml:space="preserve">пунктом 9</w:t>
        </w:r>
      </w:hyperlink>
      <w:r>
        <w:rPr>
          <w:sz w:val="24"/>
        </w:rPr>
        <w:t xml:space="preserve"> настоящего Порядка;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соответствия уровня доступности для инвалидов предоставляемых услуг и имеющихся недостатков в обеспечении условий их доступности для инвалидов, с использованием показателей, предусмотренных </w:t>
      </w:r>
      <w:hyperlink w:history="0" w:anchor="P95" w:tooltip="9. Оценка соответствия уровня доступности для инвалидов объектов и услуг осуществляется органами и организациями, предоставляющими услуги, с использованием следующих показателей:">
        <w:r>
          <w:rPr>
            <w:sz w:val="24"/>
            <w:color w:val="0000ff"/>
          </w:rPr>
          <w:t xml:space="preserve">пунктом 9</w:t>
        </w:r>
      </w:hyperlink>
      <w:r>
        <w:rPr>
          <w:sz w:val="24"/>
        </w:rPr>
        <w:t xml:space="preserve"> настоящего Порядка;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предлагаемые решения по срокам и объемам работ, необходимых для приведения объекта и порядка предоставления на нем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Для проведения обследования и паспортизации приказами органов и организаций, предоставляющих услуги, утверждаются составы комиссий по проведению обследования и паспортизации объектов и предоставляемых на них услуг (далее - комиссии) и планы-графики обследования и паспортизации.</w:t>
      </w:r>
    </w:p>
    <w:bookmarkStart w:id="95" w:name="P95"/>
    <w:bookmarkEnd w:id="9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Оценка соответствия уровня доступности для инвалидов объектов и услуг осуществляется органами и организациями, предоставляющими услуги, с использованием следующих показателей: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удельный вес введенных с 1 июля 2016 года &lt;19&gt; в эксплуатацию объектов, используемых для перевозки инвалидов транспортных средств, полностью соответствующих требованиям доступности для инвалидов (от общего количества вновь вводимых объектов и используемых для перевозки инвалидов транспортных средств), - за исключением организаций, в функции которых не входит перевозка (транспортировка) пациентов;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&lt;19&gt; </w:t>
      </w:r>
      <w:hyperlink w:history="0" r:id="rId29" w:tooltip="Федеральный закон от 01.12.2014 N 419-ФЗ (ред. от 12.12.2023) &quot;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&quot; {КонсультантПлюс}">
        <w:r>
          <w:rPr>
            <w:sz w:val="24"/>
            <w:color w:val="0000ff"/>
          </w:rPr>
          <w:t xml:space="preserve">Часть 3 статьи 26</w:t>
        </w:r>
      </w:hyperlink>
      <w:r>
        <w:rPr>
          <w:sz w:val="24"/>
        </w:rPr>
        <w:t xml:space="preserve"> Федерального закона от 1 декабря 2014 г. N 419-ФЗ "О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удельный вес объектов, которые в результате капитального ремонта, реконструкции, модернизации после 1 июля 2016 года &lt;19&gt; полностью соответствуют требованиям доступности для инвалидов (от общего количества объектов, прошедших капитальный ремонт, реконструкцию, модернизацию);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удельный вес объектов (от общего количества объектов, на которых в настоящее время невозможно полностью обеспечить доступность с учетом потребностей инвалидов), на которых до проведения капитального ремонта или реконструкции обеспечивается доступ инвалидов к месту предоставления услуги, с учетом предоставления им необходимых услуг в дистанционном режиме, а также, когда это возможно, необходимых услуг по месту жительства;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удельный вес объектов, на которых обеспечиваются условия индивидуальной мобильности инвалидов и возможность для самостоятельного их передвижения по объекту (от общего количества объектов, на которых инвалидам предоставляются услуги), в том числе на которых имеются: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выделенные стоянки автотранспортных средств для инвалидов;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сменные кресла-коляски;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адаптированные лифты;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поручни;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пандусы;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подъемные платформы (аппарели);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раздвижные двери;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доступные входные группы;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доступные санитарно-гигиенические помещения;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достаточная ширина дверных проемов в стенах, лестничных маршей, площадок;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удельный вес объектов, на которых обеспечено сопровождение инвалидов, имеющих стойкие расстройства функции зрения и самостоятельного передвижения, и оказание им помощи (от общего количества объектов, на которых инвалидам предоставляются услуги);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удельный вес объектов с надлежащим размещением оборудования и носителей информации, необходимых для обеспечения беспрепятственного доступа инвалидов к объектам (местам предоставления услуг) с учетом ограничений их жизнедеятельности (от общего количества объектов, на которых инвалидам предоставляются услуги);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удельный вес объектов, на которых обеспечено дублирование информации, необходимой для инвалидов, в звуковой и зрительной форме, а также имеются надписи, знаки и иная текстовая и графическая информация, выполненные рельефно-точечным шрифтом Брайля и на контрастном фоне (от общего количества объектов, на которых инвалидам предоставляются услуги);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удельный вес услуг, предоставляемых с допуском переводчика русского жестового языка (сурдопереводчика, тифлосурдопереводчика) (от общего количества предоставляемых услуг);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доля сотрудников, предоставляющих услуги и прошедших инструктирование или обучение для работы с инвалидами по вопросам, связанным с обеспечением доступности для них объектов и услуг (от общего числа сотрудников, предоставляющих такие услуги);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удельный вес услуг, предоставляемых инвалидам с сопровождением сотрудников, предоставляющих услуги (от общего количества предоставляемых услуг);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удельный вес объектов, имеющих утвержденные Паспорта (от общего количества объектов).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По результатам обследования объекта и предоставляемых на нем услуг комиссией разрабатываются предложения по принятию решений, которые включаются в Паспорт, в том числе: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созданию (с учетом потребностей инвалидов) условий доступности объекта и порядка предоставления на нем услуг в соответствии с </w:t>
      </w:r>
      <w:hyperlink w:history="0" r:id="rId30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частью 4 статьи 15</w:t>
        </w:r>
      </w:hyperlink>
      <w:r>
        <w:rPr>
          <w:sz w:val="24"/>
        </w:rPr>
        <w:t xml:space="preserve"> Федерального закона от 24 ноября 1995 г. N 181-ФЗ (в случае невозможности обеспечения условий полной доступности);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определению мероприятий, учитываемых в планах развития объекта, сметах его капитального и текущего ремонтов, реконструкции, модернизации, в графиках переоснащения объекта и закупки нового оборудования в целях повышения уровня доступности объекта и условий предоставления на нем услуг с учетом потребностей инвалидов;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включению необходимых мероприятий в технические задания на разработку проектно-сметной документации по проектированию и строительству вновь вводимых в эксплуатацию объектов, на которых предоставляются услуги, оснащению их приспособлениями и оборудованием, обеспечивающими их полное соответствие требованиям доступности для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Паспорт, разработанный комиссией, утверждается руководителем (заместителем руководителя) органа или организации, предоставляющих услуги, и представляется в течение 10 рабочих дней со дня утверждения: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территориальными органами федеральных органов исполнительной власти и организациями, предоставляющими услуги, подведомственными федеральным органам исполнительной власти, - в федеральные органы исполнительной власти;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органами и организациями, предоставляющими услуги, подведомственными исполнительным органам субъектов Российской Федерации в сфере охраны здоровья или в случае передачи полномочий исполнительных органов субъектов Российской Федерации в сфере охраны здоровья для осуществления органам местного самоуправления в соответствии с </w:t>
      </w:r>
      <w:hyperlink w:history="0" r:id="rId31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частью второй статьи 16</w:t>
        </w:r>
      </w:hyperlink>
      <w:r>
        <w:rPr>
          <w:sz w:val="24"/>
        </w:rPr>
        <w:t xml:space="preserve"> Федерального закона от 21 ноября 2011 г. N 323-ФЗ - органам местного самоуправления, - в исполнительные органы субъектов Российской Федерации в сфере охраны здоровья или органы местного самоуправления, осуществляющие функции и полномочия учредителя медицинской организации соответственно;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организациями, предоставляющими услуги, частной системы здравоохранения - учредителю соответствующей организации.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Минздрава России от 14.04.2025 N 210н</w:t>
            <w:br/>
            <w:t>"Об утверждении Порядка обеспечения условий доступности для инвалидов объек...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3022&amp;date=21.05.2025&amp;dst=262&amp;field=134&amp;demo=2" TargetMode = "External"/>
	<Relationship Id="rId8" Type="http://schemas.openxmlformats.org/officeDocument/2006/relationships/hyperlink" Target="https://login.consultant.ru/link/?req=doc&amp;base=LAW&amp;n=504021&amp;date=21.05.2025&amp;dst=167&amp;field=134&amp;demo=2" TargetMode = "External"/>
	<Relationship Id="rId9" Type="http://schemas.openxmlformats.org/officeDocument/2006/relationships/hyperlink" Target="https://login.consultant.ru/link/?req=doc&amp;base=LAW&amp;n=190260&amp;date=21.05.2025&amp;demo=2" TargetMode = "External"/>
	<Relationship Id="rId10" Type="http://schemas.openxmlformats.org/officeDocument/2006/relationships/hyperlink" Target="https://login.consultant.ru/link/?req=doc&amp;base=LAW&amp;n=481289&amp;date=21.05.2025&amp;dst=100322&amp;field=134&amp;demo=2" TargetMode = "External"/>
	<Relationship Id="rId11" Type="http://schemas.openxmlformats.org/officeDocument/2006/relationships/hyperlink" Target="https://login.consultant.ru/link/?req=doc&amp;base=LAW&amp;n=480812&amp;date=21.05.2025&amp;dst=101145&amp;field=134&amp;demo=2" TargetMode = "External"/>
	<Relationship Id="rId12" Type="http://schemas.openxmlformats.org/officeDocument/2006/relationships/hyperlink" Target="https://login.consultant.ru/link/?req=doc&amp;base=LAW&amp;n=183496&amp;date=21.05.2025&amp;demo=2" TargetMode = "External"/>
	<Relationship Id="rId13" Type="http://schemas.openxmlformats.org/officeDocument/2006/relationships/hyperlink" Target="https://login.consultant.ru/link/?req=doc&amp;base=LAW&amp;n=493636&amp;date=21.05.2025&amp;demo=2" TargetMode = "External"/>
	<Relationship Id="rId14" Type="http://schemas.openxmlformats.org/officeDocument/2006/relationships/hyperlink" Target="https://login.consultant.ru/link/?req=doc&amp;base=LAW&amp;n=481289&amp;date=21.05.2025&amp;dst=122&amp;field=134&amp;demo=2" TargetMode = "External"/>
	<Relationship Id="rId15" Type="http://schemas.openxmlformats.org/officeDocument/2006/relationships/hyperlink" Target="https://login.consultant.ru/link/?req=doc&amp;base=LAW&amp;n=481289&amp;date=21.05.2025&amp;dst=354&amp;field=134&amp;demo=2" TargetMode = "External"/>
	<Relationship Id="rId16" Type="http://schemas.openxmlformats.org/officeDocument/2006/relationships/hyperlink" Target="https://login.consultant.ru/link/?req=doc&amp;base=LAW&amp;n=481289&amp;date=21.05.2025&amp;dst=353&amp;field=134&amp;demo=2" TargetMode = "External"/>
	<Relationship Id="rId17" Type="http://schemas.openxmlformats.org/officeDocument/2006/relationships/hyperlink" Target="https://login.consultant.ru/link/?req=doc&amp;base=LAW&amp;n=481289&amp;date=21.05.2025&amp;dst=101138&amp;field=134&amp;demo=2" TargetMode = "External"/>
	<Relationship Id="rId18" Type="http://schemas.openxmlformats.org/officeDocument/2006/relationships/hyperlink" Target="https://login.consultant.ru/link/?req=doc&amp;base=LAW&amp;n=481289&amp;date=21.05.2025&amp;dst=100555&amp;field=134&amp;demo=2" TargetMode = "External"/>
	<Relationship Id="rId19" Type="http://schemas.openxmlformats.org/officeDocument/2006/relationships/hyperlink" Target="https://login.consultant.ru/link/?req=doc&amp;base=LAW&amp;n=481289&amp;date=21.05.2025&amp;dst=101135&amp;field=134&amp;demo=2" TargetMode = "External"/>
	<Relationship Id="rId20" Type="http://schemas.openxmlformats.org/officeDocument/2006/relationships/hyperlink" Target="https://login.consultant.ru/link/?req=doc&amp;base=LAW&amp;n=481289&amp;date=21.05.2025&amp;dst=100151&amp;field=134&amp;demo=2" TargetMode = "External"/>
	<Relationship Id="rId21" Type="http://schemas.openxmlformats.org/officeDocument/2006/relationships/hyperlink" Target="https://login.consultant.ru/link/?req=doc&amp;base=LAW&amp;n=481289&amp;date=21.05.2025&amp;dst=100641&amp;field=134&amp;demo=2" TargetMode = "External"/>
	<Relationship Id="rId22" Type="http://schemas.openxmlformats.org/officeDocument/2006/relationships/hyperlink" Target="https://login.consultant.ru/link/?req=doc&amp;base=LAW&amp;n=481289&amp;date=21.05.2025&amp;dst=100447&amp;field=134&amp;demo=2" TargetMode = "External"/>
	<Relationship Id="rId23" Type="http://schemas.openxmlformats.org/officeDocument/2006/relationships/hyperlink" Target="https://login.consultant.ru/link/?req=doc&amp;base=LAW&amp;n=468629&amp;date=21.05.2025&amp;dst=100011&amp;field=134&amp;demo=2" TargetMode = "External"/>
	<Relationship Id="rId24" Type="http://schemas.openxmlformats.org/officeDocument/2006/relationships/hyperlink" Target="https://login.consultant.ru/link/?req=doc&amp;base=LAW&amp;n=481289&amp;date=21.05.2025&amp;dst=100322&amp;field=134&amp;demo=2" TargetMode = "External"/>
	<Relationship Id="rId25" Type="http://schemas.openxmlformats.org/officeDocument/2006/relationships/hyperlink" Target="https://login.consultant.ru/link/?req=doc&amp;base=LAW&amp;n=483022&amp;date=21.05.2025&amp;dst=252&amp;field=134&amp;demo=2" TargetMode = "External"/>
	<Relationship Id="rId26" Type="http://schemas.openxmlformats.org/officeDocument/2006/relationships/hyperlink" Target="https://login.consultant.ru/link/?req=doc&amp;base=LAW&amp;n=471020&amp;date=21.05.2025&amp;dst=20&amp;field=134&amp;demo=2" TargetMode = "External"/>
	<Relationship Id="rId27" Type="http://schemas.openxmlformats.org/officeDocument/2006/relationships/hyperlink" Target="https://login.consultant.ru/link/?req=doc&amp;base=LAW&amp;n=471020&amp;date=21.05.2025&amp;demo=2" TargetMode = "External"/>
	<Relationship Id="rId28" Type="http://schemas.openxmlformats.org/officeDocument/2006/relationships/hyperlink" Target="https://login.consultant.ru/link/?req=doc&amp;base=LAW&amp;n=502603&amp;date=21.05.2025&amp;demo=2" TargetMode = "External"/>
	<Relationship Id="rId29" Type="http://schemas.openxmlformats.org/officeDocument/2006/relationships/hyperlink" Target="https://login.consultant.ru/link/?req=doc&amp;base=LAW&amp;n=479112&amp;date=21.05.2025&amp;dst=100277&amp;field=134&amp;demo=2" TargetMode = "External"/>
	<Relationship Id="rId30" Type="http://schemas.openxmlformats.org/officeDocument/2006/relationships/hyperlink" Target="https://login.consultant.ru/link/?req=doc&amp;base=LAW&amp;n=483022&amp;date=21.05.2025&amp;dst=399&amp;field=134&amp;demo=2" TargetMode = "External"/>
	<Relationship Id="rId31" Type="http://schemas.openxmlformats.org/officeDocument/2006/relationships/hyperlink" Target="https://login.consultant.ru/link/?req=doc&amp;base=LAW&amp;n=481289&amp;date=21.05.2025&amp;dst=806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Минздрава России от 14.04.2025 N 210н
"Об утверждении Порядка обеспечения условий доступности для инвалидов объектов инфраструктуры государственной, муниципальной и частной систем здравоохранения и предоставляемых услуг в сфере охраны здоровья, а также оказания им при этом необходимой помощи"
(Зарегистрировано в Минюсте России 20.05.2025 N 82238)</dc:title>
  <dcterms:created xsi:type="dcterms:W3CDTF">2025-05-21T14:24:41Z</dcterms:created>
</cp:coreProperties>
</file>