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мая 2025 г. N 18-4279-ТГ/25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ПОРЯДКЕ ИСПРАВЛЕНИЯ РЕЕСТРОВЫХ ОШИБОК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служба государственной регистрации, кадастра и картографии в целях соблюдения территориальными органами Росреестра порядка исправления органом регистрации прав реестровых ошибок в сведениях Единого государственного реестра недвижимости (далее - ЕГРН), установленного Федеральным </w:t>
      </w:r>
      <w:hyperlink w:history="0" r:id="rId6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13.07.2015 N 218-ФЗ "О государственной регистрации недвижимости" (далее - Закон N 218-ФЗ), </w:t>
      </w:r>
      <w:hyperlink w:history="0" r:id="rId7" w:tooltip="Приказ Росреестра от 27.12.2023 N П/0565 (ред. от 18.03.2025) &quot;Об установлении порядка изменения сведений Единого государственного реестра недвижимости о местоположении границ земельного участка (земельных участков), местоположении здания, сооружения, объекта незавершенного строительства при исправлении реестровой ошибки&quot; (Зарегистрировано в Минюсте России 31.01.2024 N 77079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изменения сведений Единого государственного реестра недвижимости о местоположении границ земельного участка (земельных участков), местоположении здания, сооружения, объекта незавершенного строительства при исправлении реестровой ошибки, установленным приказом Росреестра от 27.12.2023 N П/0565 (далее - Порядок),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Определение координат в целях исправления реестровой ошибки допустимо с использованием картографического материала, который позволяет определить координаты согласно требованиям к точности и методам определения координат, установленным в соответствии с </w:t>
      </w:r>
      <w:hyperlink w:history="0" r:id="rId8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13 статьи 22</w:t>
        </w:r>
      </w:hyperlink>
      <w:r>
        <w:rPr>
          <w:sz w:val="24"/>
        </w:rPr>
        <w:t xml:space="preserve">, </w:t>
      </w:r>
      <w:hyperlink w:history="0" r:id="rId9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частью 13 статьи 24</w:t>
        </w:r>
      </w:hyperlink>
      <w:r>
        <w:rPr>
          <w:sz w:val="24"/>
        </w:rPr>
        <w:t xml:space="preserve"> Закона N 218-ФЗ, с учетом особенностей, установленных </w:t>
      </w:r>
      <w:hyperlink w:history="0" r:id="rId10" w:tooltip="Приказ Росреестра от 27.12.2023 N П/0565 (ред. от 18.03.2025) &quot;Об установлении порядка изменения сведений Единого государственного реестра недвижимости о местоположении границ земельного участка (земельных участков), местоположении здания, сооружения, объекта незавершенного строительства при исправлении реестровой ошибки&quot; (Зарегистрировано в Минюсте России 31.01.2024 N 77079) {КонсультантПлюс}">
        <w:r>
          <w:rPr>
            <w:sz w:val="24"/>
            <w:color w:val="0000ff"/>
          </w:rPr>
          <w:t xml:space="preserve">пунктами 2</w:t>
        </w:r>
      </w:hyperlink>
      <w:r>
        <w:rPr>
          <w:sz w:val="24"/>
        </w:rPr>
        <w:t xml:space="preserve"> и </w:t>
      </w:r>
      <w:hyperlink w:history="0" r:id="rId11" w:tooltip="Приказ Росреестра от 27.12.2023 N П/0565 (ред. от 18.03.2025) &quot;Об установлении порядка изменения сведений Единого государственного реестра недвижимости о местоположении границ земельного участка (земельных участков), местоположении здания, сооружения, объекта незавершенного строительства при исправлении реестровой ошибки&quot; (Зарегистрировано в Минюсте России 31.01.2024 N 77079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Требований к точности и методам определения координат, приложенных к Порядку.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установленная </w:t>
      </w:r>
      <w:hyperlink w:history="0" r:id="rId12" w:tooltip="Приказ Росреестра от 27.12.2023 N П/0565 (ред. от 18.03.2025) &quot;Об установлении порядка изменения сведений Единого государственного реестра недвижимости о местоположении границ земельного участка (земельных участков), местоположении здания, сооружения, объекта незавершенного строительства при исправлении реестровой ошибки&quot; (Зарегистрировано в Минюсте России 31.01.2024 N 77079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средняя квадратическая погрешность определения координат характерных точек границ земельных участков, отнесенных к землям населенных пунктов - 1,0 м, позволяет использовать картометрический метод определения координат с применением картографического материала масштаба 1:2000.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картометрический метод для определения координат в целях устранения реестровой ошибки может быть применен только в случаях, если ошибка в местоположении границ объектов недвижимости превышает 1,0 м. При устранении реестровой ошибки, представляющей собой линейное отклонение значений координат, не превышающее величины 1,0 м, необходимо выбирать метод определения координат, который не приведет к снижению точности определения координат, содержащейся в ЕГРН.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отмечаем, что в соответствии с </w:t>
      </w:r>
      <w:hyperlink w:history="0" r:id="rId13" w:tooltip="Приказ Росреестра от 23.10.2020 N П/0393 (ред. от 29.10.2021) &quot;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машино-места&quot; (Зарегистрировано в Минюсте России 16.11.2020 N 60938)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Требований к точности и методам определения координат, утвержденных приказом Росреестра от 23.10.2020 N П/0393 (далее - Требования), при определении координат характерных точек фотограмметрическим методом используются материалы аэрофотосъемки и космической съемки, размер проекции пикселя на местности которых не превышает значений, установленных в </w:t>
      </w:r>
      <w:hyperlink w:history="0" r:id="rId14" w:tooltip="Приказ Росреестра от 23.10.2020 N П/0393 (ред. от 29.10.2021) &quot;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машино-места&quot; (Зарегистрировано в Минюсте России 16.11.2020 N 60938) {КонсультантПлюс}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Требованиям для соответствующей категории земель и разрешенного использования земельных участков (т.е. для обеспечения точности 0,10 м размер проекции пикселя на местности для аэрофотоснимков - 5 см).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Линейное отклонение значений координат характерных точек границ смежных земельных участков, не превышающее 10 см, необходимо устранять с применением аналитического метода путем использования содержащихся в ЕГРН сведений о координатах характерных точек границ смежного земельного участка, определенных с установленной действующим законодательством точностью.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 определении координат характерных точек границ земельных участков в рамках исправления реестровых ошибок необходимо проведение полного анализа сведений, содержащихся в документах, указанных в </w:t>
      </w:r>
      <w:hyperlink w:history="0" r:id="rId15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7.3 статьи 61</w:t>
        </w:r>
      </w:hyperlink>
      <w:r>
        <w:rPr>
          <w:sz w:val="24"/>
        </w:rPr>
        <w:t xml:space="preserve"> Закона N 218-ФЗ.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указанном случае местоположение границ земельных участков определяется в том числе с использованием картографической основы и (или) иных документов (материалов) исходя из сведений, содержащихся в правоустанавливающих документах и (или) в документах, подтверждающих права на земельные участки, а при отсутствии таких документов исходя из сведений, содержащихся в документах, определявших местоположение границ земельных участков при их образовании. В случае отсутствия таких документов или отсутствия в таких документах сведений о местоположении границ земельных участков их границами считаются границы, существующие на местности пятнадцать лет и более.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определении координат характерных точек границ указанных земельных участков также могут использоваться материалы землеустроительной документации, содержащейся в государственном фонде данных, полученных в результате проведения землеустройства, материалы и пространственные данные государственных фондов пространственных данных, ведомственных фондов пространственных данных, ситуационные планы, содержащиеся в технических паспортах расположенных на земельных участках объектов недвижимости, хранившихся по состоянию на 01.01.2013 в органах (организациях) по государственному техническому учету и (или) технической инвентаризации в составе учетно-технической документации об объектах государственного технического учета и технической инвентаризации, планово-картографические материалы, имеющиеся в органах местного самоуправления муниципальных районов, органах местного самоуправления муниципальных округов, городских округов, органах местного самоуправления поселений, и иные документы, содержащие сведения о местоположении границ земельных участков, включая сведения государственного лесного реестра.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соответствии со </w:t>
      </w:r>
      <w:hyperlink w:history="0" r:id="rId16" w:tooltip="&quot;Гражданский процессуальный кодекс Российской Федерации&quot; от 14.11.2002 N 138-ФЗ (ред. от 01.04.2025) {КонсультантПлюс}">
        <w:r>
          <w:rPr>
            <w:sz w:val="24"/>
            <w:color w:val="0000ff"/>
          </w:rPr>
          <w:t xml:space="preserve">статьей 13</w:t>
        </w:r>
      </w:hyperlink>
      <w:r>
        <w:rPr>
          <w:sz w:val="24"/>
        </w:rPr>
        <w:t xml:space="preserve"> Гражданского процессуального кодекса Российской Федерации, </w:t>
      </w:r>
      <w:hyperlink w:history="0" r:id="rId17" w:tooltip="&quot;Арбитражный процессуальный кодекс Российской Федерации&quot; от 24.07.2002 N 95-ФЗ (ред. от 01.04.2025) {КонсультантПлюс}">
        <w:r>
          <w:rPr>
            <w:sz w:val="24"/>
            <w:color w:val="0000ff"/>
          </w:rPr>
          <w:t xml:space="preserve">статьей 16</w:t>
        </w:r>
      </w:hyperlink>
      <w:r>
        <w:rPr>
          <w:sz w:val="24"/>
        </w:rPr>
        <w:t xml:space="preserve"> Арбитражного процессуального кодекса Российской Федерации, </w:t>
      </w:r>
      <w:hyperlink w:history="0" r:id="rId18" w:tooltip="&quot;Кодекс административного судопроизводства Российской Федерации&quot; от 08.03.2015 N 21-ФЗ (ред. от 01.04.2025) {КонсультантПлюс}">
        <w:r>
          <w:rPr>
            <w:sz w:val="24"/>
            <w:color w:val="0000ff"/>
          </w:rPr>
          <w:t xml:space="preserve">статьей 16</w:t>
        </w:r>
      </w:hyperlink>
      <w:r>
        <w:rPr>
          <w:sz w:val="24"/>
        </w:rPr>
        <w:t xml:space="preserve"> Кодекса административного судопроизводства Российской Федерации и </w:t>
      </w:r>
      <w:hyperlink w:history="0" r:id="rId19" w:tooltip="Федеральный конституционный закон от 31.12.1996 N 1-ФКЗ (ред. от 16.04.2022) &quot;О судебной системе Российской Федерации&quot; (с изм. и доп., вступ. в силу с 01.01.2023) {КонсультантПлюс}">
        <w:r>
          <w:rPr>
            <w:sz w:val="24"/>
            <w:color w:val="0000ff"/>
          </w:rPr>
          <w:t xml:space="preserve">статьей 6</w:t>
        </w:r>
      </w:hyperlink>
      <w:r>
        <w:rPr>
          <w:sz w:val="24"/>
        </w:rPr>
        <w:t xml:space="preserve"> Федерального конституционного закона от 31.12.1996 N 1-ФКЗ "О судебной системе Российской Федерации" вступившие в законную силу судебные акты, а также законные распоряжения, требования, поручения, вызовы и обращения судов являются обязательными для всех без исключения органов государственной власти, органов местного самоуправления, общественных объединений, должностных лиц, граждан, организаций и подлежат неукоснительному исполнению на всей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исправление реестровой ошибки в сведениях ЕГРН о границах, установленных в соответствии с решением суда, недопустимо.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20" w:tooltip="Приказ Росреестра от 27.12.2023 N П/0565 (ред. от 18.03.2025) &quot;Об установлении порядка изменения сведений Единого государственного реестра недвижимости о местоположении границ земельного участка (земельных участков), местоположении здания, сооружения, объекта незавершенного строительства при исправлении реестровой ошибки&quot; (Зарегистрировано в Минюсте России 31.01.2024 N 77079) {КонсультантПлюс}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Порядка предусмотрено указание в отчете о результатах определения координат наряду с информацией о значении координат характерных точек границ земельного участка иных сведений, в том числе о методе определения координат и о фактической средней квадратической погрешности определения координат.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Следует отметить, что указанные требования относятся также к характерным точкам границ, координаты которых установлены в рамках мероприятия по исправлению реестровых ошибок.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Необходимо довести указанную в настоящем письме информацию до лиц, осуществляющих подготовку документов для исправления реестровых ошибок, и государственных регистраторов прав, принимающих соответствующие решения.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Т.А.ГРОМОВА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06.05.2025 N 18-4279-ТГ/25</w:t>
            <w:br/>
            <w:t>"О порядке исправления реестровых ошибок"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06.05.2025 N 18-4279-ТГ/25 "О порядке исправления реестровых ошибок"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0103&amp;date=28.05.2025&amp;demo=2" TargetMode = "External"/>
	<Relationship Id="rId7" Type="http://schemas.openxmlformats.org/officeDocument/2006/relationships/hyperlink" Target="https://login.consultant.ru/link/?req=doc&amp;base=LAW&amp;n=503844&amp;date=28.05.2025&amp;dst=100011&amp;field=134&amp;demo=2" TargetMode = "External"/>
	<Relationship Id="rId8" Type="http://schemas.openxmlformats.org/officeDocument/2006/relationships/hyperlink" Target="https://login.consultant.ru/link/?req=doc&amp;base=LAW&amp;n=500103&amp;date=28.05.2025&amp;dst=1303&amp;field=134&amp;demo=2" TargetMode = "External"/>
	<Relationship Id="rId9" Type="http://schemas.openxmlformats.org/officeDocument/2006/relationships/hyperlink" Target="https://login.consultant.ru/link/?req=doc&amp;base=LAW&amp;n=500103&amp;date=28.05.2025&amp;dst=1305&amp;field=134&amp;demo=2" TargetMode = "External"/>
	<Relationship Id="rId10" Type="http://schemas.openxmlformats.org/officeDocument/2006/relationships/hyperlink" Target="https://login.consultant.ru/link/?req=doc&amp;base=LAW&amp;n=503844&amp;date=28.05.2025&amp;dst=100123&amp;field=134&amp;demo=2" TargetMode = "External"/>
	<Relationship Id="rId11" Type="http://schemas.openxmlformats.org/officeDocument/2006/relationships/hyperlink" Target="https://login.consultant.ru/link/?req=doc&amp;base=LAW&amp;n=503844&amp;date=28.05.2025&amp;dst=100128&amp;field=134&amp;demo=2" TargetMode = "External"/>
	<Relationship Id="rId12" Type="http://schemas.openxmlformats.org/officeDocument/2006/relationships/hyperlink" Target="https://login.consultant.ru/link/?req=doc&amp;base=LAW&amp;n=503844&amp;date=28.05.2025&amp;dst=100011&amp;field=134&amp;demo=2" TargetMode = "External"/>
	<Relationship Id="rId13" Type="http://schemas.openxmlformats.org/officeDocument/2006/relationships/hyperlink" Target="https://login.consultant.ru/link/?req=doc&amp;base=LAW&amp;n=405960&amp;date=28.05.2025&amp;dst=100088&amp;field=134&amp;demo=2" TargetMode = "External"/>
	<Relationship Id="rId14" Type="http://schemas.openxmlformats.org/officeDocument/2006/relationships/hyperlink" Target="https://login.consultant.ru/link/?req=doc&amp;base=LAW&amp;n=405960&amp;date=28.05.2025&amp;dst=100101&amp;field=134&amp;demo=2" TargetMode = "External"/>
	<Relationship Id="rId15" Type="http://schemas.openxmlformats.org/officeDocument/2006/relationships/hyperlink" Target="https://login.consultant.ru/link/?req=doc&amp;base=LAW&amp;n=500103&amp;date=28.05.2025&amp;dst=1284&amp;field=134&amp;demo=2" TargetMode = "External"/>
	<Relationship Id="rId16" Type="http://schemas.openxmlformats.org/officeDocument/2006/relationships/hyperlink" Target="https://login.consultant.ru/link/?req=doc&amp;base=LAW&amp;n=502255&amp;date=28.05.2025&amp;dst=100056&amp;field=134&amp;demo=2" TargetMode = "External"/>
	<Relationship Id="rId17" Type="http://schemas.openxmlformats.org/officeDocument/2006/relationships/hyperlink" Target="https://login.consultant.ru/link/?req=doc&amp;base=LAW&amp;n=502254&amp;date=28.05.2025&amp;dst=100087&amp;field=134&amp;demo=2" TargetMode = "External"/>
	<Relationship Id="rId18" Type="http://schemas.openxmlformats.org/officeDocument/2006/relationships/hyperlink" Target="https://login.consultant.ru/link/?req=doc&amp;base=LAW&amp;n=502256&amp;date=28.05.2025&amp;dst=100121&amp;field=134&amp;demo=2" TargetMode = "External"/>
	<Relationship Id="rId19" Type="http://schemas.openxmlformats.org/officeDocument/2006/relationships/hyperlink" Target="https://login.consultant.ru/link/?req=doc&amp;base=LAW&amp;n=420987&amp;date=28.05.2025&amp;dst=100037&amp;field=134&amp;demo=2" TargetMode = "External"/>
	<Relationship Id="rId20" Type="http://schemas.openxmlformats.org/officeDocument/2006/relationships/hyperlink" Target="https://login.consultant.ru/link/?req=doc&amp;base=LAW&amp;n=503844&amp;date=28.05.2025&amp;dst=10005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06.05.2025 N 18-4279-ТГ/25
"О порядке исправления реестровых ошибок"</dc:title>
  <dcterms:created xsi:type="dcterms:W3CDTF">2025-05-28T13:23:13Z</dcterms:created>
</cp:coreProperties>
</file>