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29 мая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ВСТРЕЧИ С ГЛАВАМИ МУНИЦИПАЛЬНЫХ</w:t>
      </w:r>
    </w:p>
    <w:p>
      <w:pPr>
        <w:pStyle w:val="2"/>
        <w:jc w:val="center"/>
      </w:pPr>
      <w:r>
        <w:rPr>
          <w:sz w:val="24"/>
        </w:rPr>
        <w:t xml:space="preserve">ОБРАЗОВАНИЙ В РАМКАХ ВТОРОГО ВСЕРОССИЙСКОГО МУНИЦИПАЛЬНОГО</w:t>
      </w:r>
    </w:p>
    <w:p>
      <w:pPr>
        <w:pStyle w:val="2"/>
        <w:jc w:val="center"/>
      </w:pPr>
      <w:r>
        <w:rPr>
          <w:sz w:val="24"/>
        </w:rPr>
        <w:t xml:space="preserve">ФОРУМА "МАЛАЯ РОДИНА - СИЛА РОССИИ"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Президент утвердил перечень поручений по итогам встречи с главами муниципальных образований в рамках второго Всероссийского муниципального форума "Малая родина - сила России" 21 апреля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Правительству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обеспечить предоставление гражданам, пострадавшим в результате чрезвычайных ситуаций федерального характера на территориях Белгородской и Курской областей, мер поддержки по каждому установленному факту нарушения условий их жизнедеятельности и утраты ими имущества первой необходимости;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предусмотреть для выборных должностных лиц местного самоуправления и муниципальных служащих, работающих в условиях военного положения или режима контртеррористической операции, меры социальной поддержки, аналогичные мерам, установленным для лиц, направленных (командированных) на территории Донецкой Народной Республики, Луганской Народной Республики, Запорожской и Херсонской областей;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предоставить дополнительные государственные страховые гарантии пострадавшим в ходе проведения специальной военной операции, контртеррористической операции на территории Российской Федерации, в результате обстрелов территории Российской Федерации украинскими вооруженными формированиями и террористических актов работникам специализированных государственных унитарных предприятий, созданных в целях усиления охраны общественного порядка и обеспечения общественной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августа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при подготовке проекта федерального бюджета на 2026 год и на плановый период 2027 и 2028 годов предусмотреть софинансирование за счет средств федерального бюджета мероприятий по строительству, модернизации и капитальному ремонту детских спортивных школ, а также организаций дополнительного образования детей, находящихся в ведении органов управления в сфере образования, в рамках государственных программ Российской Федерации </w:t>
      </w:r>
      <w:hyperlink w:history="0" r:id="rId6" w:tooltip="Постановление Правительства РФ от 30.09.2021 N 1661 (ред. от 21.12.2024) &quot;Об утверждении государственной программы Российской Федерации &quot;Развитие физической культуры и спорта&quot; и о признании утратившими силу некоторых актов и отдельных положений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"Развитие физической культуры и спорта"</w:t>
        </w:r>
      </w:hyperlink>
      <w:r>
        <w:rPr>
          <w:sz w:val="24"/>
        </w:rPr>
        <w:t xml:space="preserve"> и </w:t>
      </w:r>
      <w:hyperlink w:history="0" r:id="rId7" w:tooltip="Постановление Правительства РФ от 26.12.2017 N 1642 (ред. от 21.02.2025) &quot;Об утверждении государственной программы Российской Федерации &quot;Развитие образования&quot; {КонсультантПлюс}">
        <w:r>
          <w:rPr>
            <w:sz w:val="24"/>
            <w:color w:val="0000ff"/>
          </w:rPr>
          <w:t xml:space="preserve">"Развитие образования"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представить предложения по расширению практики заключения соглашений о защите и поощрении капиталовложений и созданию иных механизмов, обеспечивающих участие делового сообщества в развитии инфраструктуры муниципальных образований.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октября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расширить практику включения в федеральные проекты и (или) государственные программы Российской Федерации мероприятий по софинансированию за счет средств федерального бюджета проектов, реализуемых на базе принципов инициативного бюджетирования.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февраля 2026 г., далее - ежегодно;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рассмотреть вопросы о включении в федеральный проект "Кадры в агропромышленном комплексе" мероприятия по поддержке образовательных организаций, реализующих образовательные программы среднего профессионального образования в области сельского хозяйства и сельскохозяйственных наук, в целях повышения качества подготовки специалистов.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ноября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представить предложения по обеспечению привлекательных условий инвестирования на территориях муниципальных образований в целях привлечения средств частных инвесторов для реализации инвестиционных проектов по комплексному развитию указанных территорий, в том числе по образованию новых населенных пунктов, с установлением нормативов отчислений в местные бюджеты не более 50 процентов налоговых доходов, полученных субъектом Российской Федерации от реализации таких проектов, и при необходимости по определению соответствующих особенностей правового регулирования.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сентября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Правительству Российской Федерации совместно с исполнительными органами Донецкой Народной Республики, Луганской Народной Республики, Запорожской и Херсонской областей в целях предоставления земельных участков гражданам для собственных нужд обеспечить принятие решений об отнесении к собственности названных субъектов Российской Федерации или муниципальной собственности муниципальных образований указанных субъектов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земельных участков, на которых расположены садовые дома, жилые дома, гаражи граждан;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земельных участков, принадлежащих некоммерческим организациям и предназначенных для индивидуального жилищного строительства, ведения гражданами садоводства, огородничества для собственных нужд, строительства гаражей для собственных нужд;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земельных участков, предоставленных гражданам до 5 октября 2022 г. и предназначенных для индивидуального жилищного строительства, ведения личного подсобного хозяйства, ведения садоводства, огородничества для собственных нужд, строительства гаражей для собственных нужд.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августа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Пушилин Д.В., Пасечник Л.И., Балицкий Е.В., Сальдо В.В.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Правительству Российской Федерации совместно с исполнительными органами субъектов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создать условия для поступления участников специальной военной операции на муниципальную службу, в том числе за счет корректировки квалификационных требований к стажу муниципальной службы или работы по специальности, направлению подготовки, а также к уровню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сентября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 учетом положительного опыта Тульской области по реализации проекта "Герой 71", направленного на создание условий для личностного и профессионального роста, успешного трудоустройства и самореализации участников специальной военной операции, рассмотреть вопрос об организации взаимодействия с участниками специальной военной операции при оказании им мер поддержки, в том числе в целях получения образования и трудоустройства, с использованием федеральной государственной информационной системы "Единый портал государственных и муниципальных услуг (функций)".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октября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высшие должностные лица субъектов Российской Федерации.</w:t>
      </w:r>
    </w:p>
    <w:bookmarkStart w:id="38" w:name="P38"/>
    <w:bookmarkEnd w:id="3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Правительству Российской Федерации совместно с Администрацией Президента Российской Федерации разработать единые рекомендации по увековечению памяти защитников Отечества, в том числе погибших (умерших) участников специальной военной операции.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сентября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Вайно А.Э.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Рекомендовать высшим должностным лицам субъектов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принимать меры по увековечению памяти защитников Отечества, в том числе погибших (умерших) участников специальной военной операции, с учетом рекомендаций, разработанных в соответствии с </w:t>
      </w:r>
      <w:hyperlink w:history="0" w:anchor="P38" w:tooltip="4. Правительству Российской Федерации совместно с Администрацией Президента Российской Федерации разработать единые рекомендации по увековечению памяти защитников Отечества, в том числе погибших (умерших) участников специальной военной операции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настоящего перечня поручений.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февраля 2026 г., далее - ежегодно;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 учетом положительного опыта Тульской области по реализации проекта "Герой 71", направленного на создание условий для личностного и профессионального роста, успешного трудоустройства и самореализации участников специальной военной операции, обеспечить организацию обучения, профессиональной подготовки, переподготовки, повышения квалификации участников специальной военной операции, желающих поступить на государственную гражданскую службу субъектов Российской Федерации и муниципальную службу, предусмотрев необходимое финансирование;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реализации программ по поддержке местных производителей и продвижению их продукции использовать в том числе инфраструктуру цифровых торговых площадок.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октября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высшие должностные лица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Правительству Российской Федерации совместно с акционерным обществом "ДОМ.РФ" в целях вовлечения неиспользуемого имущества в хозяйственный оборот обеспечить внесение в законодательство Российской Федерации изменений, направленных на определение этого акционерного общества агентом субъектов Российской Федерации и муниципальных образований в отношении принадлежащих им и находящихся в неудовлетворительном состоянии объектов культурного наследия (памятников истории и культуры) народов Российской Федерации и земельных участков, на которых они расположены (по аналогии с действующим статусом агента Российской Федерации в отношении находящихся в федеральной собственности земельных участков и иных объектов недвижимого имущества).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Мутко В.Л.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встречи с главами муниципальных образований в рамках второго Всероссийского муниципального...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встречи с главами муниципальных образований в рамках второго Всероссийского муниципального...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6596&amp;date=02.06.2025&amp;dst=100011&amp;field=134&amp;demo=2" TargetMode = "External"/>
	<Relationship Id="rId7" Type="http://schemas.openxmlformats.org/officeDocument/2006/relationships/hyperlink" Target="https://login.consultant.ru/link/?req=doc&amp;base=LAW&amp;n=500153&amp;date=02.06.2025&amp;dst=10001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встречи с главами муниципальных образований в рамках второго Всероссийского муниципального форума "Малая родина - сила России"
(утв. Президентом РФ 29.05.2025)</dc:title>
  <dcterms:created xsi:type="dcterms:W3CDTF">2025-06-02T15:05:33Z</dcterms:created>
</cp:coreProperties>
</file>