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28.05.2025 N 748</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28 мая 2025 г. N 748</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Настоящее постановление вступает в силу с 1 сентября 2025 г.</w:t>
      </w:r>
    </w:p>
    <w:p>
      <w:pPr>
        <w:pStyle w:val="0"/>
        <w:jc w:val="center"/>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28 мая 2025 г. N 748</w:t>
      </w:r>
    </w:p>
    <w:p>
      <w:pPr>
        <w:pStyle w:val="0"/>
        <w:jc w:val="right"/>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center"/>
      </w:pPr>
      <w:r>
        <w:rPr>
          <w:sz w:val="24"/>
        </w:rPr>
      </w:r>
    </w:p>
    <w:p>
      <w:pPr>
        <w:pStyle w:val="0"/>
        <w:ind w:firstLine="540"/>
        <w:jc w:val="both"/>
      </w:pPr>
      <w:r>
        <w:rPr>
          <w:sz w:val="24"/>
        </w:rPr>
        <w:t xml:space="preserve">1. В </w:t>
      </w:r>
      <w:hyperlink w:history="0" r:id="rId7"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постановлении</w:t>
        </w:r>
      </w:hyperlink>
      <w:r>
        <w:rPr>
          <w:sz w:val="24"/>
        </w:rPr>
        <w:t xml:space="preserve"> Правительства Российской Федерации от 12 октября 2020 г. N 1657 "О Единых требованиях к объектам обработки, утилизации, обезвреживания, размещения твердых коммунальных отходов" (Собрание законодательства Российской Федерации, 2020, N 42, ст. 6622):</w:t>
      </w:r>
    </w:p>
    <w:p>
      <w:pPr>
        <w:pStyle w:val="0"/>
        <w:spacing w:before="240" w:line-rule="auto"/>
        <w:ind w:firstLine="540"/>
        <w:jc w:val="both"/>
      </w:pPr>
      <w:r>
        <w:rPr>
          <w:sz w:val="24"/>
        </w:rPr>
        <w:t xml:space="preserve">а) </w:t>
      </w:r>
      <w:hyperlink w:history="0" r:id="rId8"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наименование</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"О ЕДИНЫХ ТРЕБОВАНИЯХ</w:t>
      </w:r>
    </w:p>
    <w:p>
      <w:pPr>
        <w:pStyle w:val="0"/>
        <w:jc w:val="center"/>
      </w:pPr>
      <w:r>
        <w:rPr>
          <w:sz w:val="24"/>
        </w:rPr>
        <w:t xml:space="preserve">К ОБЪЕКТАМ ОБРАБОТКИ, УТИЛИЗАЦИИ, ОБЕЗВРЕЖИВАНИЯ, РАЗМЕЩЕНИЯ</w:t>
      </w:r>
    </w:p>
    <w:p>
      <w:pPr>
        <w:pStyle w:val="0"/>
        <w:jc w:val="center"/>
      </w:pPr>
      <w:r>
        <w:rPr>
          <w:sz w:val="24"/>
        </w:rPr>
        <w:t xml:space="preserve">ТВЕРДЫХ КОММУНАЛЬНЫХ ОТХОДОВ, ПЕРЕГРУЗОЧНЫМ СТАНЦИЯМ";</w:t>
      </w:r>
    </w:p>
    <w:p>
      <w:pPr>
        <w:pStyle w:val="0"/>
        <w:jc w:val="center"/>
      </w:pPr>
      <w:r>
        <w:rPr>
          <w:sz w:val="24"/>
        </w:rPr>
      </w:r>
    </w:p>
    <w:p>
      <w:pPr>
        <w:pStyle w:val="0"/>
        <w:ind w:firstLine="540"/>
        <w:jc w:val="both"/>
      </w:pPr>
      <w:r>
        <w:rPr>
          <w:sz w:val="24"/>
        </w:rPr>
        <w:t xml:space="preserve">б) </w:t>
      </w:r>
      <w:hyperlink w:history="0" r:id="rId9"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 1</w:t>
        </w:r>
      </w:hyperlink>
      <w:r>
        <w:rPr>
          <w:sz w:val="24"/>
        </w:rPr>
        <w:t xml:space="preserve"> дополнить словами ", перегрузочным станциям (далее - Единые требования)";</w:t>
      </w:r>
    </w:p>
    <w:p>
      <w:pPr>
        <w:pStyle w:val="0"/>
        <w:spacing w:before="240" w:line-rule="auto"/>
        <w:ind w:firstLine="540"/>
        <w:jc w:val="both"/>
      </w:pPr>
      <w:r>
        <w:rPr>
          <w:sz w:val="24"/>
        </w:rPr>
        <w:t xml:space="preserve">в) </w:t>
      </w:r>
      <w:hyperlink w:history="0" r:id="rId10"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дополнить</w:t>
        </w:r>
      </w:hyperlink>
      <w:r>
        <w:rPr>
          <w:sz w:val="24"/>
        </w:rPr>
        <w:t xml:space="preserve"> пунктами 4 и 5 следующего содержания:</w:t>
      </w:r>
    </w:p>
    <w:p>
      <w:pPr>
        <w:pStyle w:val="0"/>
        <w:spacing w:before="240" w:line-rule="auto"/>
        <w:ind w:firstLine="540"/>
        <w:jc w:val="both"/>
      </w:pPr>
      <w:r>
        <w:rPr>
          <w:sz w:val="24"/>
        </w:rPr>
        <w:t xml:space="preserve">"4. Перегрузочные станции, проектирование, и (или) строительство, и (или) реконструкция которых завершены до 1 сентября 2025 г., подлежат приведению в соответствие с пунктами 6(2) и 6(5) Единых требований в срок до 1 сентября 2026 г.</w:t>
      </w:r>
    </w:p>
    <w:p>
      <w:pPr>
        <w:pStyle w:val="0"/>
        <w:spacing w:before="240" w:line-rule="auto"/>
        <w:ind w:firstLine="540"/>
        <w:jc w:val="both"/>
      </w:pPr>
      <w:r>
        <w:rPr>
          <w:sz w:val="24"/>
        </w:rPr>
        <w:t xml:space="preserve">5. Пункт 12 Единых требований не применяется в отношении объектов обработки твердых коммунальных отходов, проектирование, и (или) строительство, и (или) реконструкция которых завершены до 1 сентября 2025 г. На таких объектах должно извлекаться количество вторичных ресурсов, предусмотренное проектной документацией, а с 1 сентября 2026 г. - количество вторичных ресурсов, предусмотренное проектной документацией, но не менее 9 процентов массы поступивших твердых коммунальных отходов.";</w:t>
      </w:r>
    </w:p>
    <w:p>
      <w:pPr>
        <w:pStyle w:val="0"/>
        <w:spacing w:before="240" w:line-rule="auto"/>
        <w:ind w:firstLine="540"/>
        <w:jc w:val="both"/>
      </w:pPr>
      <w:r>
        <w:rPr>
          <w:sz w:val="24"/>
        </w:rPr>
        <w:t xml:space="preserve">г) в </w:t>
      </w:r>
      <w:hyperlink w:history="0" r:id="rId11"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Единых требованиях</w:t>
        </w:r>
      </w:hyperlink>
      <w:r>
        <w:rPr>
          <w:sz w:val="24"/>
        </w:rPr>
        <w:t xml:space="preserve"> к объектам обработки, утилизации, обезвреживания, размещения твердых коммунальных отходов, утвержденных указанным постановлением:</w:t>
      </w:r>
    </w:p>
    <w:p>
      <w:pPr>
        <w:pStyle w:val="0"/>
        <w:spacing w:before="240" w:line-rule="auto"/>
        <w:ind w:firstLine="540"/>
        <w:jc w:val="both"/>
      </w:pPr>
      <w:hyperlink w:history="0" r:id="rId12"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наименование</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"ЕДИНЫЕ ТРЕБОВАНИЯ</w:t>
      </w:r>
    </w:p>
    <w:p>
      <w:pPr>
        <w:pStyle w:val="0"/>
        <w:jc w:val="center"/>
      </w:pPr>
      <w:r>
        <w:rPr>
          <w:sz w:val="24"/>
        </w:rPr>
        <w:t xml:space="preserve">К ОБЪЕКТАМ ОБРАБОТКИ, УТИЛИЗАЦИИ, ОБЕЗВРЕЖИВАНИЯ, РАЗМЕЩЕНИЯ</w:t>
      </w:r>
    </w:p>
    <w:p>
      <w:pPr>
        <w:pStyle w:val="0"/>
        <w:jc w:val="center"/>
      </w:pPr>
      <w:r>
        <w:rPr>
          <w:sz w:val="24"/>
        </w:rPr>
        <w:t xml:space="preserve">ТВЕРДЫХ КОММУНАЛЬНЫХ ОТХОДОВ, ПЕРЕГРУЗОЧНЫМ СТАНЦИЯМ";</w:t>
      </w:r>
    </w:p>
    <w:p>
      <w:pPr>
        <w:pStyle w:val="0"/>
        <w:jc w:val="center"/>
      </w:pPr>
      <w:r>
        <w:rPr>
          <w:sz w:val="24"/>
        </w:rPr>
      </w:r>
    </w:p>
    <w:p>
      <w:pPr>
        <w:pStyle w:val="0"/>
        <w:ind w:firstLine="540"/>
        <w:jc w:val="both"/>
      </w:pPr>
      <w:hyperlink w:history="0" r:id="rId13"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 1</w:t>
        </w:r>
      </w:hyperlink>
      <w:r>
        <w:rPr>
          <w:sz w:val="24"/>
        </w:rPr>
        <w:t xml:space="preserve"> после слов "твердых коммунальных отходов," дополнить словами "перегрузочным станциям,", после слова "объектов" дополнить словами ", перегрузочных станций";</w:t>
      </w:r>
    </w:p>
    <w:p>
      <w:pPr>
        <w:pStyle w:val="0"/>
        <w:spacing w:before="240" w:line-rule="auto"/>
        <w:ind w:firstLine="540"/>
        <w:jc w:val="both"/>
      </w:pPr>
      <w:r>
        <w:rPr>
          <w:sz w:val="24"/>
        </w:rPr>
        <w:t xml:space="preserve">в </w:t>
      </w:r>
      <w:hyperlink w:history="0" r:id="rId14"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пункте 3</w:t>
        </w:r>
      </w:hyperlink>
      <w:r>
        <w:rPr>
          <w:sz w:val="24"/>
        </w:rPr>
        <w:t xml:space="preserve">:</w:t>
      </w:r>
    </w:p>
    <w:p>
      <w:pPr>
        <w:pStyle w:val="0"/>
        <w:spacing w:before="240" w:line-rule="auto"/>
        <w:ind w:firstLine="540"/>
        <w:jc w:val="both"/>
      </w:pPr>
      <w:r>
        <w:rPr>
          <w:sz w:val="24"/>
        </w:rPr>
        <w:t xml:space="preserve">в </w:t>
      </w:r>
      <w:hyperlink w:history="0" r:id="rId15"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абзаце втором</w:t>
        </w:r>
      </w:hyperlink>
      <w:r>
        <w:rPr>
          <w:sz w:val="24"/>
        </w:rPr>
        <w:t xml:space="preserve"> слова "из состава твердых коммунальных отходов видов отходов, пригодных для дальнейшей утилизации" заменить словами "вторичных ресурсов";</w:t>
      </w:r>
    </w:p>
    <w:p>
      <w:pPr>
        <w:pStyle w:val="0"/>
        <w:spacing w:before="240" w:line-rule="auto"/>
        <w:ind w:firstLine="540"/>
        <w:jc w:val="both"/>
      </w:pPr>
      <w:r>
        <w:rPr>
          <w:sz w:val="24"/>
        </w:rPr>
        <w:t xml:space="preserve">в </w:t>
      </w:r>
      <w:hyperlink w:history="0" r:id="rId16"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абзацах третьем</w:t>
        </w:r>
      </w:hyperlink>
      <w:r>
        <w:rPr>
          <w:sz w:val="24"/>
        </w:rPr>
        <w:t xml:space="preserve"> и </w:t>
      </w:r>
      <w:hyperlink w:history="0" r:id="rId17"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четвертом</w:t>
        </w:r>
      </w:hyperlink>
      <w:r>
        <w:rPr>
          <w:sz w:val="24"/>
        </w:rPr>
        <w:t xml:space="preserve"> слова "видов отходов, выделенных из состава твердых коммунальных отходов при обработке твердых коммунальных отходов," заменить словами "вторичных ресурсов";</w:t>
      </w:r>
    </w:p>
    <w:p>
      <w:pPr>
        <w:pStyle w:val="0"/>
        <w:spacing w:before="240" w:line-rule="auto"/>
        <w:ind w:firstLine="540"/>
        <w:jc w:val="both"/>
      </w:pPr>
      <w:hyperlink w:history="0" r:id="rId18"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 4</w:t>
        </w:r>
      </w:hyperlink>
      <w:r>
        <w:rPr>
          <w:sz w:val="24"/>
        </w:rPr>
        <w:t xml:space="preserve"> после слов "твердых коммунальных отходов," дополнить словами "перегрузочных станций,";</w:t>
      </w:r>
    </w:p>
    <w:p>
      <w:pPr>
        <w:pStyle w:val="0"/>
        <w:spacing w:before="240" w:line-rule="auto"/>
        <w:ind w:firstLine="540"/>
        <w:jc w:val="both"/>
      </w:pPr>
      <w:hyperlink w:history="0" r:id="rId19"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пункты 5</w:t>
        </w:r>
      </w:hyperlink>
      <w:r>
        <w:rPr>
          <w:sz w:val="24"/>
        </w:rPr>
        <w:t xml:space="preserve"> и </w:t>
      </w:r>
      <w:hyperlink w:history="0" r:id="rId20"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6</w:t>
        </w:r>
      </w:hyperlink>
      <w:r>
        <w:rPr>
          <w:sz w:val="24"/>
        </w:rPr>
        <w:t xml:space="preserve"> изложить в следующей редакции:</w:t>
      </w:r>
    </w:p>
    <w:p>
      <w:pPr>
        <w:pStyle w:val="0"/>
        <w:spacing w:before="240" w:line-rule="auto"/>
        <w:ind w:firstLine="540"/>
        <w:jc w:val="both"/>
      </w:pPr>
      <w:r>
        <w:rPr>
          <w:sz w:val="24"/>
        </w:rPr>
        <w:t xml:space="preserve">"5. Выбор места расположения объектов обработки, обезвреживания, утилизации, размещения твердых коммунальных отходов, перегрузочных станций должен осуществляться с учетом схемы потоков твердых коммунальных отходов в соответствии с территориальной схемой обращения с отходами производства и потребления.</w:t>
      </w:r>
    </w:p>
    <w:p>
      <w:pPr>
        <w:pStyle w:val="0"/>
        <w:spacing w:before="240" w:line-rule="auto"/>
        <w:ind w:firstLine="540"/>
        <w:jc w:val="both"/>
      </w:pPr>
      <w:r>
        <w:rPr>
          <w:sz w:val="24"/>
        </w:rPr>
        <w:t xml:space="preserve">6. Ввод в эксплуатацию объектов обработки, обезвреживания, утилизации, размещения твердых коммунальных отходов, перегрузочных станций должен осуществляться при условии проведения в полном объеме мероприятий по охране окружающей среды, предусмотренных проектной документацией объектов капитального строительства, технической документацией объектов некапитального строительства. Эксплуатация объектов капитального строительства должна осуществляться в соответствии с проектной документацией таких объектов и заключением государственной экологической экспертизы в случаях, если получение такого заключения предусмотрено требованиями законодательства Российской Федерации. Эксплуатация объектов некапитального строительства должна осуществляться в соответствии с технической документацией таких объектов.";</w:t>
      </w:r>
    </w:p>
    <w:p>
      <w:pPr>
        <w:pStyle w:val="0"/>
        <w:spacing w:before="240" w:line-rule="auto"/>
        <w:ind w:firstLine="540"/>
        <w:jc w:val="both"/>
      </w:pPr>
      <w:hyperlink w:history="0" r:id="rId21"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дополнить</w:t>
        </w:r>
      </w:hyperlink>
      <w:r>
        <w:rPr>
          <w:sz w:val="24"/>
        </w:rPr>
        <w:t xml:space="preserve"> пунктами 6(1) - 6(7) следующего содержания:</w:t>
      </w:r>
    </w:p>
    <w:p>
      <w:pPr>
        <w:pStyle w:val="0"/>
        <w:spacing w:before="240" w:line-rule="auto"/>
        <w:ind w:firstLine="540"/>
        <w:jc w:val="both"/>
      </w:pPr>
      <w:r>
        <w:rPr>
          <w:sz w:val="24"/>
        </w:rPr>
        <w:t xml:space="preserve">"6(1). Технологические решения для перегрузочных станций должны предусматривать, что на перегрузочных станциях твердые коммунальные отходы перегружаются из мусоровозов или иных транспортных средств, используемых для транспортирования твердых коммунальных отходов, в большегрузные транспортные средства непосредственно или с организацией площадок накопления твердых коммунальных отходов.</w:t>
      </w:r>
    </w:p>
    <w:p>
      <w:pPr>
        <w:pStyle w:val="0"/>
        <w:spacing w:before="240" w:line-rule="auto"/>
        <w:ind w:firstLine="540"/>
        <w:jc w:val="both"/>
      </w:pPr>
      <w:r>
        <w:rPr>
          <w:sz w:val="24"/>
        </w:rPr>
        <w:t xml:space="preserve">6(2). Перегрузочная станция должна соответствовать следующим требованиям:</w:t>
      </w:r>
    </w:p>
    <w:p>
      <w:pPr>
        <w:pStyle w:val="0"/>
        <w:spacing w:before="240" w:line-rule="auto"/>
        <w:ind w:firstLine="540"/>
        <w:jc w:val="both"/>
      </w:pPr>
      <w:r>
        <w:rPr>
          <w:sz w:val="24"/>
        </w:rPr>
        <w:t xml:space="preserve">иметь ограждение, обеспечивающее предотвращение распространения твердых коммунальных отходов за пределы перегрузочной станции;</w:t>
      </w:r>
    </w:p>
    <w:p>
      <w:pPr>
        <w:pStyle w:val="0"/>
        <w:spacing w:before="240" w:line-rule="auto"/>
        <w:ind w:firstLine="540"/>
        <w:jc w:val="both"/>
      </w:pPr>
      <w:r>
        <w:rPr>
          <w:sz w:val="24"/>
        </w:rPr>
        <w:t xml:space="preserve">иметь твердое покрытие (асфальт, бетон, полимербетон, плиты дорожные для мощения дорог).</w:t>
      </w:r>
    </w:p>
    <w:p>
      <w:pPr>
        <w:pStyle w:val="0"/>
        <w:spacing w:before="240" w:line-rule="auto"/>
        <w:ind w:firstLine="540"/>
        <w:jc w:val="both"/>
      </w:pPr>
      <w:r>
        <w:rPr>
          <w:sz w:val="24"/>
        </w:rPr>
        <w:t xml:space="preserve">6(3). Не допускается расположения перегрузочных станций на заболачиваемых и подтопляемых территориях без проведения мероприятий и (или) организации сооружений и систем инженерной защиты, направленных на предотвращение подтоплений и затоплений территорий, на которых планируется расположение перегрузочных станций.</w:t>
      </w:r>
    </w:p>
    <w:p>
      <w:pPr>
        <w:pStyle w:val="0"/>
        <w:spacing w:before="240" w:line-rule="auto"/>
        <w:ind w:firstLine="540"/>
        <w:jc w:val="both"/>
      </w:pPr>
      <w:r>
        <w:rPr>
          <w:sz w:val="24"/>
        </w:rPr>
        <w:t xml:space="preserve">6(4). На перегрузочных станциях не допускаются:</w:t>
      </w:r>
    </w:p>
    <w:p>
      <w:pPr>
        <w:pStyle w:val="0"/>
        <w:spacing w:before="240" w:line-rule="auto"/>
        <w:ind w:firstLine="540"/>
        <w:jc w:val="both"/>
      </w:pPr>
      <w:r>
        <w:rPr>
          <w:sz w:val="24"/>
        </w:rPr>
        <w:t xml:space="preserve">накопления твердых коммунальных отходов на открытых площадках навалом, насыпью, в виде гряд;</w:t>
      </w:r>
    </w:p>
    <w:p>
      <w:pPr>
        <w:pStyle w:val="0"/>
        <w:spacing w:before="240" w:line-rule="auto"/>
        <w:ind w:firstLine="540"/>
        <w:jc w:val="both"/>
      </w:pPr>
      <w:r>
        <w:rPr>
          <w:sz w:val="24"/>
        </w:rPr>
        <w:t xml:space="preserve">извлечения вторичных ресурсов из твердых коммунальных отходов.</w:t>
      </w:r>
    </w:p>
    <w:p>
      <w:pPr>
        <w:pStyle w:val="0"/>
        <w:spacing w:before="240" w:line-rule="auto"/>
        <w:ind w:firstLine="540"/>
        <w:jc w:val="both"/>
      </w:pPr>
      <w:r>
        <w:rPr>
          <w:sz w:val="24"/>
        </w:rPr>
        <w:t xml:space="preserve">6(5). На перегрузочных станциях с применением метода прямой погрузки должны быть предусмотрены конструкции, исключающие рассыпание твердых коммунальных отходов.</w:t>
      </w:r>
    </w:p>
    <w:p>
      <w:pPr>
        <w:pStyle w:val="0"/>
        <w:spacing w:before="240" w:line-rule="auto"/>
        <w:ind w:firstLine="540"/>
        <w:jc w:val="both"/>
      </w:pPr>
      <w:r>
        <w:rPr>
          <w:sz w:val="24"/>
        </w:rPr>
        <w:t xml:space="preserve">6(6). На перегрузочных станциях с местами (площадками) накопления твердых коммунальных отходов используются контейнеры и (или) бункеры для накопления твердых коммунальных отходов.</w:t>
      </w:r>
    </w:p>
    <w:p>
      <w:pPr>
        <w:pStyle w:val="0"/>
        <w:spacing w:before="240" w:line-rule="auto"/>
        <w:ind w:firstLine="540"/>
        <w:jc w:val="both"/>
      </w:pPr>
      <w:r>
        <w:rPr>
          <w:sz w:val="24"/>
        </w:rPr>
        <w:t xml:space="preserve">Твердые коммунальные отходы, накапливаемые в контейнерах и (или) бункерах, должны быть защищены от воздействия атмосферных осадков и ветра.</w:t>
      </w:r>
    </w:p>
    <w:p>
      <w:pPr>
        <w:pStyle w:val="0"/>
        <w:spacing w:before="240" w:line-rule="auto"/>
        <w:ind w:firstLine="540"/>
        <w:jc w:val="both"/>
      </w:pPr>
      <w:r>
        <w:rPr>
          <w:sz w:val="24"/>
        </w:rPr>
        <w:t xml:space="preserve">6(7). Накопление твердых коммунальных отходов на перегрузочных станциях допускается в сроки, установленные </w:t>
      </w:r>
      <w:hyperlink w:history="0" r:id="rId22"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 Не вступил в силу {КонсультантПлюс}">
        <w:r>
          <w:rPr>
            <w:sz w:val="24"/>
            <w:color w:val="0000ff"/>
          </w:rPr>
          <w:t xml:space="preserve">Правилами</w:t>
        </w:r>
      </w:hyperlink>
      <w:r>
        <w:rPr>
          <w:sz w:val="24"/>
        </w:rPr>
        <w:t xml:space="preserve">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в </w:t>
      </w:r>
      <w:hyperlink w:history="0" r:id="rId23"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пунктах 7</w:t>
        </w:r>
      </w:hyperlink>
      <w:r>
        <w:rPr>
          <w:sz w:val="24"/>
        </w:rPr>
        <w:t xml:space="preserve"> и </w:t>
      </w:r>
      <w:hyperlink w:history="0" r:id="rId24"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9</w:t>
        </w:r>
      </w:hyperlink>
      <w:r>
        <w:rPr>
          <w:sz w:val="24"/>
        </w:rPr>
        <w:t xml:space="preserve"> слова "видов отходов, пригодных для дальнейшей утилизации" заменить словами "вторичных ресурсов";</w:t>
      </w:r>
    </w:p>
    <w:p>
      <w:pPr>
        <w:pStyle w:val="0"/>
        <w:spacing w:before="240" w:line-rule="auto"/>
        <w:ind w:firstLine="540"/>
        <w:jc w:val="both"/>
      </w:pPr>
      <w:hyperlink w:history="0" r:id="rId25"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 12</w:t>
        </w:r>
      </w:hyperlink>
      <w:r>
        <w:rPr>
          <w:sz w:val="24"/>
        </w:rPr>
        <w:t xml:space="preserve"> изложить в следующей редакции:</w:t>
      </w:r>
    </w:p>
    <w:p>
      <w:pPr>
        <w:pStyle w:val="0"/>
        <w:spacing w:before="240" w:line-rule="auto"/>
        <w:ind w:firstLine="540"/>
        <w:jc w:val="both"/>
      </w:pPr>
      <w:r>
        <w:rPr>
          <w:sz w:val="24"/>
        </w:rPr>
        <w:t xml:space="preserve">"12. На объектах обработки твердых коммунальных отходов мощностью менее 100 тыс. тонн в год должно извлекаться количество вторичных ресурсов, направляемых на утилизацию (за исключением энергетической утилизации и утилизации органической части твердых коммунальных отходов путем производства искусственных грунтов), предусмотренное проектной документацией, но не менее 13 процентов массы поступивших твердых коммунальных отходов, за исключением случаев, указанных в абзаце третьем настоящего пункта.</w:t>
      </w:r>
    </w:p>
    <w:p>
      <w:pPr>
        <w:pStyle w:val="0"/>
        <w:spacing w:before="240" w:line-rule="auto"/>
        <w:ind w:firstLine="540"/>
        <w:jc w:val="both"/>
      </w:pPr>
      <w:r>
        <w:rPr>
          <w:sz w:val="24"/>
        </w:rPr>
        <w:t xml:space="preserve">На объектах обработки твердых коммунальных отходов мощностью 100 тыс. тонн в год и более должно извлекаться количество вторичных ресурсов, направляемых на утилизацию (за исключением энергетической утилизации и утилизации органической части твердых коммунальных отходов путем производства искусственных грунтов), предусмотренное проектной документацией, но не менее 15 процентов массы поступивших твердых коммунальных отходов, за исключением случаев, указанных в абзаце третьем настоящего пункта.</w:t>
      </w:r>
    </w:p>
    <w:p>
      <w:pPr>
        <w:pStyle w:val="0"/>
        <w:spacing w:before="240" w:line-rule="auto"/>
        <w:ind w:firstLine="540"/>
        <w:jc w:val="both"/>
      </w:pPr>
      <w:r>
        <w:rPr>
          <w:sz w:val="24"/>
        </w:rPr>
        <w:t xml:space="preserve">В случае если территориальной схемой обращения с отходами производства и потребления предусмотрено направление органической части твердых коммунальных отходов, выделенной из состава твердых коммунальных отходов на объектах обработки твердых коммунальных отходов, на объекты утилизации твердых коммунальных отходов путем производства искусственных грунтов из органической части твердых коммунальных отходов, на таких объектах обработки твердых коммунальных отходов должно извлекаться количество органической части твердых коммунальных отходов, предусмотренное проектной документацией, но не менее 30 процентов массы поступивших на объекты обработки твердых коммунальных отходов.";</w:t>
      </w:r>
    </w:p>
    <w:p>
      <w:pPr>
        <w:pStyle w:val="0"/>
        <w:spacing w:before="240" w:line-rule="auto"/>
        <w:ind w:firstLine="540"/>
        <w:jc w:val="both"/>
      </w:pPr>
      <w:r>
        <w:rPr>
          <w:sz w:val="24"/>
        </w:rPr>
        <w:t xml:space="preserve">в </w:t>
      </w:r>
      <w:hyperlink w:history="0" r:id="rId26"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абзаце втором пункта 13</w:t>
        </w:r>
      </w:hyperlink>
      <w:r>
        <w:rPr>
          <w:sz w:val="24"/>
        </w:rPr>
        <w:t xml:space="preserve"> слова "почвогрунта или грунта, пригодного для технических целей, твердого топлива, из видов отходов, полученных при обработке твердых коммунальных отходов" заменить словами "искусственного грунта, топлива, из вторичных ресурсов";</w:t>
      </w:r>
    </w:p>
    <w:p>
      <w:pPr>
        <w:pStyle w:val="0"/>
        <w:spacing w:before="240" w:line-rule="auto"/>
        <w:ind w:firstLine="540"/>
        <w:jc w:val="both"/>
      </w:pPr>
      <w:r>
        <w:rPr>
          <w:sz w:val="24"/>
        </w:rPr>
        <w:t xml:space="preserve">в </w:t>
      </w:r>
      <w:hyperlink w:history="0" r:id="rId27"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пунктах 17</w:t>
        </w:r>
      </w:hyperlink>
      <w:r>
        <w:rPr>
          <w:sz w:val="24"/>
        </w:rPr>
        <w:t xml:space="preserve">, </w:t>
      </w:r>
      <w:hyperlink w:history="0" r:id="rId28"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20</w:t>
        </w:r>
      </w:hyperlink>
      <w:r>
        <w:rPr>
          <w:sz w:val="24"/>
        </w:rPr>
        <w:t xml:space="preserve"> и </w:t>
      </w:r>
      <w:hyperlink w:history="0" r:id="rId29"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24</w:t>
        </w:r>
      </w:hyperlink>
      <w:r>
        <w:rPr>
          <w:sz w:val="24"/>
        </w:rPr>
        <w:t xml:space="preserve"> слова "твердыми коммунальными отходами" заменить словами "отходами производства и потребления".</w:t>
      </w:r>
    </w:p>
    <w:p>
      <w:pPr>
        <w:pStyle w:val="0"/>
        <w:spacing w:before="240" w:line-rule="auto"/>
        <w:ind w:firstLine="540"/>
        <w:jc w:val="both"/>
      </w:pPr>
      <w:r>
        <w:rPr>
          <w:sz w:val="24"/>
        </w:rPr>
        <w:t xml:space="preserve">2. В </w:t>
      </w:r>
      <w:hyperlink w:history="0" r:id="rId30" w:tooltip="Постановление Правительства РФ от 17.02.2023 N 255 (ред. от 20.09.2023) &quot;Об особенностях применения законодательства Российской Федерации в сфере обращения с отходами производства и потребления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абзаце первом пункта 2</w:t>
        </w:r>
      </w:hyperlink>
      <w:r>
        <w:rPr>
          <w:sz w:val="24"/>
        </w:rPr>
        <w:t xml:space="preserve"> особенностей применения законодательства Российской Федерации в сфере обращения с отходами производства и потребления на территориях Донецкой Народной Республики, Луганской Народной Республики, Запорожской области и Херсонской области, утвержденных постановлением Правительства Российской Федерации от 17 февраля 2023 г. N 255 "Об особенностях применения законодательства Российской Федерации в сфере обращения с отходами производства и потребления на территориях Донецкой Народной Республики, Луганской Народной Республики, Запорожской области и Херсонской области" (Собрание законодательства Российской Федерации, 2023, N 8, ст. 1351):</w:t>
      </w:r>
    </w:p>
    <w:p>
      <w:pPr>
        <w:pStyle w:val="0"/>
        <w:spacing w:before="240" w:line-rule="auto"/>
        <w:ind w:firstLine="540"/>
        <w:jc w:val="both"/>
      </w:pPr>
      <w:r>
        <w:rPr>
          <w:sz w:val="24"/>
        </w:rPr>
        <w:t xml:space="preserve">а) слова "Единых требованиях к объектам обработки, утилизации, обезвреживания, размещения твердых коммунальных отходов" заменить словами "Единых требованиях к объектам обработки, утилизации, обезвреживания, размещения твердых коммунальных отходов, перегрузочным станциям";</w:t>
      </w:r>
    </w:p>
    <w:p>
      <w:pPr>
        <w:pStyle w:val="0"/>
        <w:spacing w:before="240" w:line-rule="auto"/>
        <w:ind w:firstLine="540"/>
        <w:jc w:val="both"/>
      </w:pPr>
      <w:r>
        <w:rPr>
          <w:sz w:val="24"/>
        </w:rPr>
        <w:t xml:space="preserve">б) дополнить словами ", перегрузочным станциям".</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28.05.2025 N 748</w:t>
            <w:br/>
            <w:t>"О внесении изменений в некоторые акты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65180&amp;date=02.06.2025&amp;demo=2" TargetMode = "External"/>
	<Relationship Id="rId8" Type="http://schemas.openxmlformats.org/officeDocument/2006/relationships/hyperlink" Target="https://login.consultant.ru/link/?req=doc&amp;base=LAW&amp;n=365180&amp;date=02.06.2025&amp;dst=100003&amp;field=134&amp;demo=2" TargetMode = "External"/>
	<Relationship Id="rId9" Type="http://schemas.openxmlformats.org/officeDocument/2006/relationships/hyperlink" Target="https://login.consultant.ru/link/?req=doc&amp;base=LAW&amp;n=365180&amp;date=02.06.2025&amp;dst=100005&amp;field=134&amp;demo=2" TargetMode = "External"/>
	<Relationship Id="rId10" Type="http://schemas.openxmlformats.org/officeDocument/2006/relationships/hyperlink" Target="https://login.consultant.ru/link/?req=doc&amp;base=LAW&amp;n=365180&amp;date=02.06.2025&amp;demo=2" TargetMode = "External"/>
	<Relationship Id="rId11" Type="http://schemas.openxmlformats.org/officeDocument/2006/relationships/hyperlink" Target="https://login.consultant.ru/link/?req=doc&amp;base=LAW&amp;n=365180&amp;date=02.06.2025&amp;dst=100011&amp;field=134&amp;demo=2" TargetMode = "External"/>
	<Relationship Id="rId12" Type="http://schemas.openxmlformats.org/officeDocument/2006/relationships/hyperlink" Target="https://login.consultant.ru/link/?req=doc&amp;base=LAW&amp;n=365180&amp;date=02.06.2025&amp;dst=100011&amp;field=134&amp;demo=2" TargetMode = "External"/>
	<Relationship Id="rId13" Type="http://schemas.openxmlformats.org/officeDocument/2006/relationships/hyperlink" Target="https://login.consultant.ru/link/?req=doc&amp;base=LAW&amp;n=365180&amp;date=02.06.2025&amp;dst=100012&amp;field=134&amp;demo=2" TargetMode = "External"/>
	<Relationship Id="rId14" Type="http://schemas.openxmlformats.org/officeDocument/2006/relationships/hyperlink" Target="https://login.consultant.ru/link/?req=doc&amp;base=LAW&amp;n=365180&amp;date=02.06.2025&amp;dst=100014&amp;field=134&amp;demo=2" TargetMode = "External"/>
	<Relationship Id="rId15" Type="http://schemas.openxmlformats.org/officeDocument/2006/relationships/hyperlink" Target="https://login.consultant.ru/link/?req=doc&amp;base=LAW&amp;n=365180&amp;date=02.06.2025&amp;dst=100015&amp;field=134&amp;demo=2" TargetMode = "External"/>
	<Relationship Id="rId16" Type="http://schemas.openxmlformats.org/officeDocument/2006/relationships/hyperlink" Target="https://login.consultant.ru/link/?req=doc&amp;base=LAW&amp;n=365180&amp;date=02.06.2025&amp;dst=100016&amp;field=134&amp;demo=2" TargetMode = "External"/>
	<Relationship Id="rId17" Type="http://schemas.openxmlformats.org/officeDocument/2006/relationships/hyperlink" Target="https://login.consultant.ru/link/?req=doc&amp;base=LAW&amp;n=365180&amp;date=02.06.2025&amp;dst=100017&amp;field=134&amp;demo=2" TargetMode = "External"/>
	<Relationship Id="rId18" Type="http://schemas.openxmlformats.org/officeDocument/2006/relationships/hyperlink" Target="https://login.consultant.ru/link/?req=doc&amp;base=LAW&amp;n=365180&amp;date=02.06.2025&amp;dst=100020&amp;field=134&amp;demo=2" TargetMode = "External"/>
	<Relationship Id="rId19" Type="http://schemas.openxmlformats.org/officeDocument/2006/relationships/hyperlink" Target="https://login.consultant.ru/link/?req=doc&amp;base=LAW&amp;n=365180&amp;date=02.06.2025&amp;dst=100021&amp;field=134&amp;demo=2" TargetMode = "External"/>
	<Relationship Id="rId20" Type="http://schemas.openxmlformats.org/officeDocument/2006/relationships/hyperlink" Target="https://login.consultant.ru/link/?req=doc&amp;base=LAW&amp;n=365180&amp;date=02.06.2025&amp;dst=100022&amp;field=134&amp;demo=2" TargetMode = "External"/>
	<Relationship Id="rId21" Type="http://schemas.openxmlformats.org/officeDocument/2006/relationships/hyperlink" Target="https://login.consultant.ru/link/?req=doc&amp;base=LAW&amp;n=365180&amp;date=02.06.2025&amp;dst=100011&amp;field=134&amp;demo=2" TargetMode = "External"/>
	<Relationship Id="rId22" Type="http://schemas.openxmlformats.org/officeDocument/2006/relationships/hyperlink" Target="https://login.consultant.ru/link/?req=doc&amp;base=LAW&amp;n=500887&amp;date=02.06.2025&amp;dst=100019&amp;field=134&amp;demo=2" TargetMode = "External"/>
	<Relationship Id="rId23" Type="http://schemas.openxmlformats.org/officeDocument/2006/relationships/hyperlink" Target="https://login.consultant.ru/link/?req=doc&amp;base=LAW&amp;n=365180&amp;date=02.06.2025&amp;dst=100023&amp;field=134&amp;demo=2" TargetMode = "External"/>
	<Relationship Id="rId24" Type="http://schemas.openxmlformats.org/officeDocument/2006/relationships/hyperlink" Target="https://login.consultant.ru/link/?req=doc&amp;base=LAW&amp;n=365180&amp;date=02.06.2025&amp;dst=100025&amp;field=134&amp;demo=2" TargetMode = "External"/>
	<Relationship Id="rId25" Type="http://schemas.openxmlformats.org/officeDocument/2006/relationships/hyperlink" Target="https://login.consultant.ru/link/?req=doc&amp;base=LAW&amp;n=365180&amp;date=02.06.2025&amp;dst=100034&amp;field=134&amp;demo=2" TargetMode = "External"/>
	<Relationship Id="rId26" Type="http://schemas.openxmlformats.org/officeDocument/2006/relationships/hyperlink" Target="https://login.consultant.ru/link/?req=doc&amp;base=LAW&amp;n=365180&amp;date=02.06.2025&amp;dst=100036&amp;field=134&amp;demo=2" TargetMode = "External"/>
	<Relationship Id="rId27" Type="http://schemas.openxmlformats.org/officeDocument/2006/relationships/hyperlink" Target="https://login.consultant.ru/link/?req=doc&amp;base=LAW&amp;n=365180&amp;date=02.06.2025&amp;dst=100040&amp;field=134&amp;demo=2" TargetMode = "External"/>
	<Relationship Id="rId28" Type="http://schemas.openxmlformats.org/officeDocument/2006/relationships/hyperlink" Target="https://login.consultant.ru/link/?req=doc&amp;base=LAW&amp;n=365180&amp;date=02.06.2025&amp;dst=100043&amp;field=134&amp;demo=2" TargetMode = "External"/>
	<Relationship Id="rId29" Type="http://schemas.openxmlformats.org/officeDocument/2006/relationships/hyperlink" Target="https://login.consultant.ru/link/?req=doc&amp;base=LAW&amp;n=365180&amp;date=02.06.2025&amp;dst=100049&amp;field=134&amp;demo=2" TargetMode = "External"/>
	<Relationship Id="rId30" Type="http://schemas.openxmlformats.org/officeDocument/2006/relationships/hyperlink" Target="https://login.consultant.ru/link/?req=doc&amp;base=LAW&amp;n=457881&amp;date=02.06.2025&amp;dst=10001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28.05.2025 N 748
"О внесении изменений в некоторые акты Правительства Российской Федерации"</dc:title>
  <dcterms:created xsi:type="dcterms:W3CDTF">2025-06-02T15:16:09Z</dcterms:created>
</cp:coreProperties>
</file>