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30 апреля 2025 г. N 25920-ДН/04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r>
        <w:rPr>
          <w:sz w:val="24"/>
        </w:rPr>
        <w:t xml:space="preserve">В силу </w:t>
      </w:r>
      <w:hyperlink w:history="0" r:id="rId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3 статьи 30</w:t>
        </w:r>
      </w:hyperlink>
      <w:r>
        <w:rPr>
          <w:sz w:val="24"/>
        </w:rPr>
        <w:t xml:space="preserve"> Жилищного кодекса Российской Федерации (далее - ЖК РФ)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(далее - МКД),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pPr>
        <w:pStyle w:val="0"/>
        <w:spacing w:before="240" w:line-rule="auto"/>
        <w:ind w:firstLine="540"/>
        <w:jc w:val="both"/>
      </w:pPr>
      <w:r>
        <w:rPr>
          <w:sz w:val="24"/>
        </w:rPr>
        <w:t xml:space="preserve">Согласно </w:t>
      </w:r>
      <w:hyperlink w:history="0" r:id="rId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39</w:t>
        </w:r>
      </w:hyperlink>
      <w:r>
        <w:rPr>
          <w:sz w:val="24"/>
        </w:rPr>
        <w:t xml:space="preserve"> ЖК РФ собственники помещений в МКД несут бремя расходов на содержание общего имущества в МКД.</w:t>
      </w:r>
    </w:p>
    <w:p>
      <w:pPr>
        <w:pStyle w:val="0"/>
        <w:spacing w:before="240" w:line-rule="auto"/>
        <w:ind w:firstLine="540"/>
        <w:jc w:val="both"/>
      </w:pPr>
      <w:r>
        <w:rPr>
          <w:sz w:val="24"/>
        </w:rPr>
        <w:t xml:space="preserve">В соответствии с </w:t>
      </w:r>
      <w:hyperlink w:history="0" r:id="rId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153</w:t>
        </w:r>
      </w:hyperlink>
      <w:r>
        <w:rPr>
          <w:sz w:val="24"/>
        </w:rPr>
        <w:t xml:space="preserve"> ЖК РФ граждане и организации обязаны своевременно и полностью вносить плату за жилое помещение и коммунальные услуги.</w:t>
      </w:r>
    </w:p>
    <w:p>
      <w:pPr>
        <w:pStyle w:val="0"/>
        <w:spacing w:before="240" w:line-rule="auto"/>
        <w:ind w:firstLine="540"/>
        <w:jc w:val="both"/>
      </w:pPr>
      <w:r>
        <w:rPr>
          <w:sz w:val="24"/>
        </w:rPr>
        <w:t xml:space="preserve">В силу </w:t>
      </w:r>
      <w:hyperlink w:history="0" r:id="rId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154</w:t>
        </w:r>
      </w:hyperlink>
      <w:r>
        <w:rPr>
          <w:sz w:val="24"/>
        </w:rPr>
        <w:t xml:space="preserve"> ЖК РФ плата за содержание жилого помещения включает в себя плату за услуги, работы по управлению МКД, за содержание и текущий ремонт общего имущества в МКД, а также за холодную воду, горячую воду, электрическую энергию, потребляемые при использовании и содержании общего имущества в МКД, за отведение сточных вод в целях содержания общего имущества в МКД.</w:t>
      </w:r>
    </w:p>
    <w:p>
      <w:pPr>
        <w:pStyle w:val="0"/>
        <w:spacing w:before="240" w:line-rule="auto"/>
        <w:ind w:firstLine="540"/>
        <w:jc w:val="both"/>
      </w:pPr>
      <w:r>
        <w:rPr>
          <w:sz w:val="24"/>
        </w:rPr>
        <w:t xml:space="preserve">В силу </w:t>
      </w:r>
      <w:hyperlink w:history="0" r:id="rId1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7 статьи 156</w:t>
        </w:r>
      </w:hyperlink>
      <w:r>
        <w:rPr>
          <w:sz w:val="24"/>
        </w:rPr>
        <w:t xml:space="preserve"> ЖК РФ размер платы за содержание жилого помещения в МКД,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history="0" r:id="rId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статьями 45</w:t>
        </w:r>
      </w:hyperlink>
      <w:r>
        <w:rPr>
          <w:sz w:val="24"/>
        </w:rPr>
        <w:t xml:space="preserve"> -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48</w:t>
        </w:r>
      </w:hyperlink>
      <w:r>
        <w:rPr>
          <w:sz w:val="24"/>
        </w:rPr>
        <w:t xml:space="preserve"> ЖК РФ, за исключением размера расходов, который определяется в соответствии с </w:t>
      </w:r>
      <w:hyperlink w:history="0" r:id="rId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9.2 статьи 156</w:t>
        </w:r>
      </w:hyperlink>
      <w:r>
        <w:rPr>
          <w:sz w:val="24"/>
        </w:rPr>
        <w:t xml:space="preserve"> ЖК РФ. Размер платы за содержание жилого помещения в МКД определяется с учетом предложений управляющей организации и устанавливается на срок не менее чем один год.</w:t>
      </w:r>
    </w:p>
    <w:p>
      <w:pPr>
        <w:pStyle w:val="0"/>
        <w:spacing w:before="240" w:line-rule="auto"/>
        <w:ind w:firstLine="540"/>
        <w:jc w:val="both"/>
      </w:pPr>
      <w:r>
        <w:rPr>
          <w:sz w:val="24"/>
        </w:rPr>
        <w:t xml:space="preserve">Согласно </w:t>
      </w:r>
      <w:hyperlink w:history="0" r:id="rId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162</w:t>
        </w:r>
      </w:hyperlink>
      <w:r>
        <w:rPr>
          <w:sz w:val="24"/>
        </w:rPr>
        <w:t xml:space="preserve"> ЖК РФ по договору управления МКД одна сторона (управляющая организация) по заданию другой стороны (собственников помещений в МКД) в течение согласованного срока за плату обязуется выполнять работы и (или) оказывать услуги по управлению МКД, выполнять работы по надлежащему содержанию и ремонту общего имущества в нем.</w:t>
      </w:r>
    </w:p>
    <w:p>
      <w:pPr>
        <w:pStyle w:val="0"/>
        <w:spacing w:before="240" w:line-rule="auto"/>
        <w:ind w:firstLine="540"/>
        <w:jc w:val="both"/>
      </w:pPr>
      <w:r>
        <w:rPr>
          <w:sz w:val="24"/>
        </w:rPr>
        <w:t xml:space="preserve">В соответствии с </w:t>
      </w:r>
      <w:hyperlink w:history="0" r:id="rId1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4.7 части 2 статьи 44</w:t>
        </w:r>
      </w:hyperlink>
      <w:r>
        <w:rPr>
          <w:sz w:val="24"/>
        </w:rPr>
        <w:t xml:space="preserve"> ЖК РФ к компетенции общего собрания собственников помещений в МКД относится принятие решения о выборе управляющей организации.</w:t>
      </w:r>
    </w:p>
    <w:p>
      <w:pPr>
        <w:pStyle w:val="0"/>
        <w:spacing w:before="240" w:line-rule="auto"/>
        <w:ind w:firstLine="540"/>
        <w:jc w:val="both"/>
      </w:pPr>
      <w:r>
        <w:rPr>
          <w:sz w:val="24"/>
        </w:rPr>
        <w:t xml:space="preserve">Как следует из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162</w:t>
        </w:r>
      </w:hyperlink>
      <w:r>
        <w:rPr>
          <w:sz w:val="24"/>
        </w:rPr>
        <w:t xml:space="preserve"> ЖК РФ, при выборе управляющей организации общим собранием собственников помещений в МКД с каждым собственником помещения в таком доме заключается договор управления на условиях, указанных в решении данного общего собрания.</w:t>
      </w:r>
    </w:p>
    <w:p>
      <w:pPr>
        <w:pStyle w:val="0"/>
        <w:spacing w:before="240" w:line-rule="auto"/>
        <w:ind w:firstLine="540"/>
        <w:jc w:val="both"/>
      </w:pPr>
      <w:r>
        <w:rPr>
          <w:sz w:val="24"/>
        </w:rPr>
        <w:t xml:space="preserve">Согласно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пункту 3 части 3 статьи 162</w:t>
        </w:r>
      </w:hyperlink>
      <w:r>
        <w:rPr>
          <w:sz w:val="24"/>
        </w:rPr>
        <w:t xml:space="preserve"> ЖК РФ в договоре управления МКД должен быть указан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history="0" r:id="rId1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157.2</w:t>
        </w:r>
      </w:hyperlink>
      <w:r>
        <w:rPr>
          <w:sz w:val="24"/>
        </w:rPr>
        <w:t xml:space="preserve"> ЖК РФ.</w:t>
      </w:r>
    </w:p>
    <w:p>
      <w:pPr>
        <w:pStyle w:val="0"/>
        <w:spacing w:before="240" w:line-rule="auto"/>
        <w:ind w:firstLine="540"/>
        <w:jc w:val="both"/>
      </w:pPr>
      <w:r>
        <w:rPr>
          <w:sz w:val="24"/>
        </w:rPr>
        <w:t xml:space="preserve">Таким образом, утверждение условий договора управления МКД, в том числе цены такого договора относится к компетенции общего собрания собственников помещений в МКД.</w:t>
      </w:r>
    </w:p>
    <w:p>
      <w:pPr>
        <w:pStyle w:val="0"/>
        <w:spacing w:before="240" w:line-rule="auto"/>
        <w:ind w:firstLine="540"/>
        <w:jc w:val="both"/>
      </w:pPr>
      <w:r>
        <w:rPr>
          <w:sz w:val="24"/>
        </w:rPr>
        <w:t xml:space="preserve">Особо отмечается, что в силу </w:t>
      </w:r>
      <w:hyperlink w:history="0" r:id="rId1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162</w:t>
        </w:r>
      </w:hyperlink>
      <w:r>
        <w:rPr>
          <w:sz w:val="24"/>
        </w:rPr>
        <w:t xml:space="preserve"> ЖК РФ решение о выборе управляющей организации и решение об утверждении условий договора управления МКД должно приниматься на одном общем собрании собственников помещений в МКД.</w:t>
      </w:r>
    </w:p>
    <w:p>
      <w:pPr>
        <w:pStyle w:val="0"/>
        <w:spacing w:before="240" w:line-rule="auto"/>
        <w:ind w:firstLine="540"/>
        <w:jc w:val="both"/>
      </w:pPr>
      <w:r>
        <w:rPr>
          <w:sz w:val="24"/>
        </w:rPr>
        <w:t xml:space="preserve">В соответствии с </w:t>
      </w:r>
      <w:hyperlink w:history="0" r:id="rId20"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частью 1 статьи 432</w:t>
        </w:r>
      </w:hyperlink>
      <w:r>
        <w:rPr>
          <w:sz w:val="24"/>
        </w:rPr>
        <w:t xml:space="preserve"> Гражданского кодекса Российской Федерации (далее - ГК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pPr>
        <w:pStyle w:val="0"/>
        <w:spacing w:before="240" w:line-rule="auto"/>
        <w:ind w:firstLine="540"/>
        <w:jc w:val="both"/>
      </w:pPr>
      <w:r>
        <w:rPr>
          <w:sz w:val="24"/>
        </w:rPr>
        <w:t xml:space="preserve">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pPr>
        <w:pStyle w:val="0"/>
        <w:spacing w:before="240" w:line-rule="auto"/>
        <w:ind w:firstLine="540"/>
        <w:jc w:val="both"/>
      </w:pPr>
      <w:r>
        <w:rPr>
          <w:sz w:val="24"/>
        </w:rPr>
        <w:t xml:space="preserve">Условие о порядке определения размера платы за содержание жилого помещения является существенным условием договора управления МКД в силу приведенных положений </w:t>
      </w:r>
      <w:hyperlink w:history="0" r:id="rId21"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 статьи 432</w:t>
        </w:r>
      </w:hyperlink>
      <w:r>
        <w:rPr>
          <w:sz w:val="24"/>
        </w:rPr>
        <w:t xml:space="preserve"> ГК РФ и </w:t>
      </w:r>
      <w:hyperlink w:history="0" r:id="rId2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пункта 3 части 3 статьи 162</w:t>
        </w:r>
      </w:hyperlink>
      <w:r>
        <w:rPr>
          <w:sz w:val="24"/>
        </w:rPr>
        <w:t xml:space="preserve"> ЖК РФ.</w:t>
      </w:r>
    </w:p>
    <w:p>
      <w:pPr>
        <w:pStyle w:val="0"/>
        <w:spacing w:before="240" w:line-rule="auto"/>
        <w:ind w:firstLine="540"/>
        <w:jc w:val="both"/>
      </w:pPr>
      <w:r>
        <w:rPr>
          <w:sz w:val="24"/>
        </w:rPr>
        <w:t xml:space="preserve">В </w:t>
      </w:r>
      <w:hyperlink w:history="0" r:id="rId23" w:tooltip="Постановление Пленума Верховного Суда РФ от 23.06.2015 N 25 &quot;О применении судами некоторых положений раздела I части первой Гражданского кодекса Российской Федерации&quot; {КонсультантПлюс}">
        <w:r>
          <w:rPr>
            <w:sz w:val="24"/>
            <w:color w:val="0000ff"/>
          </w:rPr>
          <w:t xml:space="preserve">пункте 74</w:t>
        </w:r>
      </w:hyperlink>
      <w:r>
        <w:rPr>
          <w:sz w:val="24"/>
        </w:rPr>
        <w:t xml:space="preserve"> постановления Пленума Верховного Суда Российской Федерации от 23 июня 2015 г. N 25 "О применении судами некоторых положений раздела I части первой Гражданского кодекса Российской Федерации" разъяснено, что договор, условия которого противоречат существу законодательного регулирования соответствующего вида обязательства, может быть квалифицирован как ничтожный полностью или в соответствующей части, даже если в законе не содержится прямого указания на его ничтожность.</w:t>
      </w:r>
    </w:p>
    <w:p>
      <w:pPr>
        <w:pStyle w:val="0"/>
        <w:spacing w:before="240" w:line-rule="auto"/>
        <w:ind w:firstLine="540"/>
        <w:jc w:val="both"/>
      </w:pPr>
      <w:r>
        <w:rPr>
          <w:sz w:val="24"/>
        </w:rPr>
        <w:t xml:space="preserve">Из приведенных норм права следует, что в отсутствие решения общего собрания об утверждении размера платы и/или в отсутствие решения общего собрания об утверждении текста договора, содержащего размер платы (следовательно, и стоимость выполняемых управляющей организацией работ, оказываемых услуг) можно считать указанный договор управления не заключенным, ввиду отсутствия соглашения сторон по всем существенным условиям договорам.</w:t>
      </w:r>
    </w:p>
    <w:p>
      <w:pPr>
        <w:pStyle w:val="0"/>
        <w:spacing w:before="240" w:line-rule="auto"/>
        <w:ind w:firstLine="540"/>
        <w:jc w:val="both"/>
      </w:pPr>
      <w:r>
        <w:rPr>
          <w:sz w:val="24"/>
        </w:rPr>
        <w:t xml:space="preserve">Если договор управления МКД является действующим, тогда в таком договоре утвержден порядок определения размера платы за содержание жилого помещения.</w:t>
      </w:r>
    </w:p>
    <w:p>
      <w:pPr>
        <w:pStyle w:val="0"/>
        <w:spacing w:before="240" w:line-rule="auto"/>
        <w:ind w:firstLine="540"/>
        <w:jc w:val="both"/>
      </w:pPr>
      <w:r>
        <w:rPr>
          <w:sz w:val="24"/>
        </w:rPr>
        <w:t xml:space="preserve">В силу </w:t>
      </w:r>
      <w:hyperlink w:history="0" r:id="rId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8 статьи 162</w:t>
        </w:r>
      </w:hyperlink>
      <w:r>
        <w:rPr>
          <w:sz w:val="24"/>
        </w:rPr>
        <w:t xml:space="preserve"> ЖК РФ изменение и (или) расторжение договора управления МКД осуществляются в порядке, предусмотренном гражданским законодательством.</w:t>
      </w:r>
    </w:p>
    <w:p>
      <w:pPr>
        <w:pStyle w:val="0"/>
        <w:spacing w:before="240" w:line-rule="auto"/>
        <w:ind w:firstLine="540"/>
        <w:jc w:val="both"/>
      </w:pPr>
      <w:r>
        <w:rPr>
          <w:sz w:val="24"/>
        </w:rPr>
        <w:t xml:space="preserve">В силу </w:t>
      </w:r>
      <w:hyperlink w:history="0" r:id="rId25"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1 статьи 450</w:t>
        </w:r>
      </w:hyperlink>
      <w:r>
        <w:rPr>
          <w:sz w:val="24"/>
        </w:rPr>
        <w:t xml:space="preserve"> ГК РФ изменение и расторжение договора возможны по соглашению сторон, если иное не предусмотрено </w:t>
      </w:r>
      <w:hyperlink w:history="0" r:id="rId26" w:tooltip="&quot;Гражданский кодекс Российской Федерации (часть первая)&quot; от 30.11.1994 N 51-ФЗ (ред. от 08.08.2024, с изм. от 31.10.2024) {КонсультантПлюс}">
        <w:r>
          <w:rPr>
            <w:sz w:val="24"/>
            <w:color w:val="0000ff"/>
          </w:rPr>
          <w:t xml:space="preserve">ГК</w:t>
        </w:r>
      </w:hyperlink>
      <w:r>
        <w:rPr>
          <w:sz w:val="24"/>
        </w:rPr>
        <w:t xml:space="preserve"> РФ, другими законами или договором.</w:t>
      </w:r>
    </w:p>
    <w:p>
      <w:pPr>
        <w:pStyle w:val="0"/>
        <w:spacing w:before="240" w:line-rule="auto"/>
        <w:ind w:firstLine="540"/>
        <w:jc w:val="both"/>
      </w:pPr>
      <w:r>
        <w:rPr>
          <w:sz w:val="24"/>
        </w:rPr>
        <w:t xml:space="preserve">Поскольку одной из сторон договора управления МКД являются собственники помещений в МКД, решение об изменении договора управления МКД, в том числе об изменении размера платы за содержание жилого помещения в МКД, должно быть принято на общем собрании собственников помещений в МКД.</w:t>
      </w:r>
    </w:p>
    <w:p>
      <w:pPr>
        <w:pStyle w:val="0"/>
        <w:spacing w:before="240" w:line-rule="auto"/>
        <w:ind w:firstLine="540"/>
        <w:jc w:val="both"/>
      </w:pPr>
      <w:r>
        <w:rPr>
          <w:sz w:val="24"/>
        </w:rPr>
        <w:t xml:space="preserve">В отсутствие такого решения общего собрания собственников помещений в МКД размер платы за содержание жилого помещения в рамках действующего договора управления МКД не подлежит изменению. В том числе не могут быть изменены условия действующего договора управления МКД, включая порядок определения размера платы за содержание жилого помещения, на основании решения и (или) правового акта органа местного самоуправления.</w:t>
      </w:r>
    </w:p>
    <w:p>
      <w:pPr>
        <w:pStyle w:val="0"/>
        <w:spacing w:before="240" w:line-rule="auto"/>
        <w:ind w:firstLine="540"/>
        <w:jc w:val="both"/>
      </w:pPr>
      <w:r>
        <w:rPr>
          <w:sz w:val="24"/>
        </w:rPr>
        <w:t xml:space="preserve">Действующее законодательство не предусматривает возможность самостоятельного (то есть в отсутствие решения общего собрания собственников помещений в МКД) изменения управляющей организацией размера платы за содержание жилого помещения в МКД, включая применение размера платы, установленного органом местного самоуправления (</w:t>
      </w:r>
      <w:hyperlink w:history="0" r:id="rId27" w:tooltip="Постановление Пленума Верховного Суда РФ от 27.06.2017 N 22 &quot;О некоторых вопросах рассмотрения судами споров по оплате коммунальных услуг и жилого помещения, занимаемого гражданами в многоквартирном доме по договору социального найма или принадлежащего им на праве собственности&quot; {КонсультантПлюс}">
        <w:r>
          <w:rPr>
            <w:sz w:val="24"/>
            <w:color w:val="0000ff"/>
          </w:rPr>
          <w:t xml:space="preserve">пункт 17</w:t>
        </w:r>
      </w:hyperlink>
      <w:r>
        <w:rPr>
          <w:sz w:val="24"/>
        </w:rPr>
        <w:t xml:space="preserve"> постановления Пленума Верховного Суда Российской Федерации от 27 июня 2017 г. N 22, </w:t>
      </w:r>
      <w:hyperlink w:history="0" r:id="rId28" w:tooltip="Определение Верховного Суда РФ от 22.02.2018 N 307-КГ17-18683 по делу N А56-84095/2016 Требование: О пересмотре в кассационном порядке судебных актов по делу об оспаривании предписания жилищной инспекции. Обжалуемый результат спора: В удовлетворении требования отказано, поскольку общество самовольно в одностороннем порядке при отсутствии решения общего собрания собственников установило размер платы за содержание и ремонт жилого помещения, без учета прав и интересов жильцов и в отсутствие на то предусмотренн {КонсультантПлюс}">
        <w:r>
          <w:rPr>
            <w:sz w:val="24"/>
            <w:color w:val="0000ff"/>
          </w:rPr>
          <w:t xml:space="preserve">Определение</w:t>
        </w:r>
      </w:hyperlink>
      <w:r>
        <w:rPr>
          <w:sz w:val="24"/>
        </w:rPr>
        <w:t xml:space="preserve"> Верховного Суда Российской Федерации от 22 февраля 2018 г. N 307-КГ17-18683 по делу N А56-84095/2016).</w:t>
      </w:r>
    </w:p>
    <w:p>
      <w:pPr>
        <w:pStyle w:val="0"/>
        <w:spacing w:before="240" w:line-rule="auto"/>
        <w:ind w:firstLine="540"/>
        <w:jc w:val="both"/>
      </w:pPr>
      <w:r>
        <w:rPr>
          <w:sz w:val="24"/>
        </w:rPr>
        <w:t xml:space="preserve">Управляющая организация не вправе поменять установленный решением общего собрания собственников помещений размер платы без принятия собственниками нового решения, даже если формулировки договора управления МКД такое допускают. Из системного анализа приведенных нормативных положений следует, что основным (первоочередным) способом установления и изменения размера платы за содержание жилого помещения для собственников (всех ее составных частей) на законодательном уровне определено волеизъявление собственников помещений в многоквартирном доме путем принятия решения об этом на общем собрании.</w:t>
      </w:r>
    </w:p>
    <w:p>
      <w:pPr>
        <w:pStyle w:val="0"/>
        <w:spacing w:before="240" w:line-rule="auto"/>
        <w:ind w:firstLine="540"/>
        <w:jc w:val="both"/>
      </w:pPr>
      <w:r>
        <w:rPr>
          <w:sz w:val="24"/>
        </w:rPr>
        <w:t xml:space="preserve">Соблюдение подобной процедуры направлено на защиту прав и законных интересов таких лиц, а также пресечение со стороны управляющей организации в одностороннем порядке необоснованного и произвольного изменения размера платы за содержание жилого помещения. Поскольку порядок определения и размер платы за содержание общего имущества дома, а также перечень работ, выполняемых в целях надлежащего содержания общего имущества МКД, являются условиями договора управления, при этом изменение условий договора управления о размере платы за содержание общего имущества исходя из норм </w:t>
      </w:r>
      <w:hyperlink w:history="0" r:id="rId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возможно исключительно по решению общего собрания собственников помещений дома, то условие договора управления о размере платы за содержание общего имущества должно соответствовать решению, принятому на собрании собственников дома.</w:t>
      </w:r>
    </w:p>
    <w:p>
      <w:pPr>
        <w:pStyle w:val="0"/>
        <w:spacing w:before="240" w:line-rule="auto"/>
        <w:ind w:firstLine="540"/>
        <w:jc w:val="both"/>
      </w:pPr>
      <w:r>
        <w:rPr>
          <w:sz w:val="24"/>
        </w:rPr>
        <w:t xml:space="preserve">В ином случае оно может быть оспорено по правилам недействительности сделок (</w:t>
      </w:r>
      <w:hyperlink w:history="0" r:id="rId30" w:tooltip="Определение Судебной коллегии по гражданским делам Верховного Суда Российской Федерации от 18.04.2023 N 45-КГ23-2-К7 (УИД 66RS0015-01-2021-000867-80) Требования правообладателей помещений: 1) О признании незаконными действий по применению размера платы за содержание жилого помещения; 2) Об обязании производить начисления платы в соответствии с решением общего собрания собственников помещений в многоквартирном доме; 3) О взыскании компенсации морального вреда. Обстоятельства: Несмотря на имеющееся решение об {КонсультантПлюс}">
        <w:r>
          <w:rPr>
            <w:sz w:val="24"/>
            <w:color w:val="0000ff"/>
          </w:rPr>
          <w:t xml:space="preserve">Определение</w:t>
        </w:r>
      </w:hyperlink>
      <w:r>
        <w:rPr>
          <w:sz w:val="24"/>
        </w:rPr>
        <w:t xml:space="preserve"> Судебной коллегии по гражданским делам Верховного Суда Российской Федерации от 18 апреля 2023 г. N 45-КГ23-2-К7).</w:t>
      </w:r>
    </w:p>
    <w:p>
      <w:pPr>
        <w:pStyle w:val="0"/>
        <w:spacing w:before="240" w:line-rule="auto"/>
        <w:ind w:firstLine="540"/>
        <w:jc w:val="both"/>
      </w:pPr>
      <w:r>
        <w:rPr>
          <w:sz w:val="24"/>
        </w:rPr>
        <w:t xml:space="preserve">В случае если в период действия договора управления МКД на общем собрании собственников принято решение о выборе иной управляющей организации и указанное решение не было реализовано либо было признано недействительным, тогда управление МКД продолжает ранее действующая управляющая организация, при этом договор управления МКД, заключенный с ранее действующей управляющей организацией, не прекращает свое действие.</w:t>
      </w:r>
    </w:p>
    <w:p>
      <w:pPr>
        <w:pStyle w:val="0"/>
        <w:spacing w:before="240" w:line-rule="auto"/>
        <w:ind w:firstLine="540"/>
        <w:jc w:val="both"/>
      </w:pPr>
      <w:r>
        <w:rPr>
          <w:sz w:val="24"/>
        </w:rPr>
        <w:t xml:space="preserve">По вопросу реализации решения общего собрания собственников помещений в МКД об изменении размера платы за содержание жилого помещения отмечается, что решение общего собрания собственников помещений в МКД является волеизъявлением только одной стороны договора управления МКД. Управляющая организация, являющаяся второй стороной договора управления МКД, вправе как согласиться с предложениями собственников помещений в МКД об условиях договора управления МКД, так и отказаться.</w:t>
      </w:r>
    </w:p>
    <w:p>
      <w:pPr>
        <w:pStyle w:val="0"/>
        <w:spacing w:before="240" w:line-rule="auto"/>
        <w:ind w:firstLine="540"/>
        <w:jc w:val="both"/>
      </w:pPr>
      <w:r>
        <w:rPr>
          <w:sz w:val="24"/>
        </w:rPr>
        <w:t xml:space="preserve">Императивной обязанности управляющей организации исполнять решения общего собрания собственников помещений в МКД об условиях договора управления, в том числе императивной обязанности изменять ранее установленный договором управления МКД порядок определения размера платы за содержание жилого помещения на порядок, предложенный общим собранием собственников помещений в МКД, законом не установлено.</w:t>
      </w:r>
    </w:p>
    <w:p>
      <w:pPr>
        <w:pStyle w:val="0"/>
        <w:spacing w:before="240" w:line-rule="auto"/>
        <w:ind w:firstLine="540"/>
        <w:jc w:val="both"/>
      </w:pPr>
      <w:r>
        <w:rPr>
          <w:sz w:val="24"/>
        </w:rPr>
        <w:t xml:space="preserve">В случае согласия управляющей организации на изменение условий договора управления МКД, в такой договор вносятся изменения, утвержденные решением общего собрания собственников помещений в МКД, путем заключения дополнительного соглашения к договору управления МКД. В случае отказа управляющей организации от изменения договора управления МКД, договор управления МКД продолжает действовать в редакции, ранее утвержденной решением общего собрания собственников помещений в МКД и согласованной управляющей организацией.</w:t>
      </w:r>
    </w:p>
    <w:p>
      <w:pPr>
        <w:pStyle w:val="0"/>
        <w:spacing w:before="240" w:line-rule="auto"/>
        <w:ind w:firstLine="540"/>
        <w:jc w:val="both"/>
      </w:pPr>
      <w:r>
        <w:rPr>
          <w:sz w:val="24"/>
        </w:rPr>
        <w:t xml:space="preserve">Обращаем внимание, что в соответствии с </w:t>
      </w:r>
      <w:hyperlink w:history="0" r:id="rId31"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30.04.2025 N 25920-ДН/04</w:t>
            <w:br/>
            <w:t>&lt;О плате за жилое помещение и коммунальные услуги&gt;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30.04.2025 N 25920-ДН/04 &lt;О плате за жилое помещение и коммунальные услуги&gt;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93210&amp;date=09.06.2025&amp;dst=100237&amp;field=134&amp;demo=2" TargetMode = "External"/>
	<Relationship Id="rId7" Type="http://schemas.openxmlformats.org/officeDocument/2006/relationships/hyperlink" Target="https://login.consultant.ru/link/?req=doc&amp;base=LAW&amp;n=493210&amp;date=09.06.2025&amp;dst=100285&amp;field=134&amp;demo=2" TargetMode = "External"/>
	<Relationship Id="rId8" Type="http://schemas.openxmlformats.org/officeDocument/2006/relationships/hyperlink" Target="https://login.consultant.ru/link/?req=doc&amp;base=LAW&amp;n=493210&amp;date=09.06.2025&amp;dst=100892&amp;field=134&amp;demo=2" TargetMode = "External"/>
	<Relationship Id="rId9" Type="http://schemas.openxmlformats.org/officeDocument/2006/relationships/hyperlink" Target="https://login.consultant.ru/link/?req=doc&amp;base=LAW&amp;n=493210&amp;date=09.06.2025&amp;dst=100900&amp;field=134&amp;demo=2" TargetMode = "External"/>
	<Relationship Id="rId10" Type="http://schemas.openxmlformats.org/officeDocument/2006/relationships/hyperlink" Target="https://login.consultant.ru/link/?req=doc&amp;base=LAW&amp;n=493210&amp;date=09.06.2025&amp;dst=685&amp;field=134&amp;demo=2" TargetMode = "External"/>
	<Relationship Id="rId11" Type="http://schemas.openxmlformats.org/officeDocument/2006/relationships/hyperlink" Target="https://login.consultant.ru/link/?req=doc&amp;base=LAW&amp;n=493210&amp;date=09.06.2025&amp;dst=100314&amp;field=134&amp;demo=2" TargetMode = "External"/>
	<Relationship Id="rId12" Type="http://schemas.openxmlformats.org/officeDocument/2006/relationships/hyperlink" Target="https://login.consultant.ru/link/?req=doc&amp;base=LAW&amp;n=493210&amp;date=09.06.2025&amp;dst=100340&amp;field=134&amp;demo=2" TargetMode = "External"/>
	<Relationship Id="rId13" Type="http://schemas.openxmlformats.org/officeDocument/2006/relationships/hyperlink" Target="https://login.consultant.ru/link/?req=doc&amp;base=LAW&amp;n=493210&amp;date=09.06.2025&amp;dst=1068&amp;field=134&amp;demo=2" TargetMode = "External"/>
	<Relationship Id="rId14" Type="http://schemas.openxmlformats.org/officeDocument/2006/relationships/hyperlink" Target="https://login.consultant.ru/link/?req=doc&amp;base=LAW&amp;n=493210&amp;date=09.06.2025&amp;dst=776&amp;field=134&amp;demo=2" TargetMode = "External"/>
	<Relationship Id="rId15" Type="http://schemas.openxmlformats.org/officeDocument/2006/relationships/hyperlink" Target="https://login.consultant.ru/link/?req=doc&amp;base=LAW&amp;n=493210&amp;date=09.06.2025&amp;dst=1083&amp;field=134&amp;demo=2" TargetMode = "External"/>
	<Relationship Id="rId16" Type="http://schemas.openxmlformats.org/officeDocument/2006/relationships/hyperlink" Target="https://login.consultant.ru/link/?req=doc&amp;base=LAW&amp;n=493210&amp;date=09.06.2025&amp;dst=887&amp;field=134&amp;demo=2" TargetMode = "External"/>
	<Relationship Id="rId17" Type="http://schemas.openxmlformats.org/officeDocument/2006/relationships/hyperlink" Target="https://login.consultant.ru/link/?req=doc&amp;base=LAW&amp;n=493210&amp;date=09.06.2025&amp;dst=778&amp;field=134&amp;demo=2" TargetMode = "External"/>
	<Relationship Id="rId18" Type="http://schemas.openxmlformats.org/officeDocument/2006/relationships/hyperlink" Target="https://login.consultant.ru/link/?req=doc&amp;base=LAW&amp;n=493210&amp;date=09.06.2025&amp;dst=749&amp;field=134&amp;demo=2" TargetMode = "External"/>
	<Relationship Id="rId19" Type="http://schemas.openxmlformats.org/officeDocument/2006/relationships/hyperlink" Target="https://login.consultant.ru/link/?req=doc&amp;base=LAW&amp;n=493210&amp;date=09.06.2025&amp;dst=887&amp;field=134&amp;demo=2" TargetMode = "External"/>
	<Relationship Id="rId20" Type="http://schemas.openxmlformats.org/officeDocument/2006/relationships/hyperlink" Target="https://login.consultant.ru/link/?req=doc&amp;base=LAW&amp;n=482692&amp;date=09.06.2025&amp;dst=102049&amp;field=134&amp;demo=2" TargetMode = "External"/>
	<Relationship Id="rId21" Type="http://schemas.openxmlformats.org/officeDocument/2006/relationships/hyperlink" Target="https://login.consultant.ru/link/?req=doc&amp;base=LAW&amp;n=482692&amp;date=09.06.2025&amp;dst=102049&amp;field=134&amp;demo=2" TargetMode = "External"/>
	<Relationship Id="rId22" Type="http://schemas.openxmlformats.org/officeDocument/2006/relationships/hyperlink" Target="https://login.consultant.ru/link/?req=doc&amp;base=LAW&amp;n=493210&amp;date=09.06.2025&amp;dst=778&amp;field=134&amp;demo=2" TargetMode = "External"/>
	<Relationship Id="rId23" Type="http://schemas.openxmlformats.org/officeDocument/2006/relationships/hyperlink" Target="https://login.consultant.ru/link/?req=doc&amp;base=LAW&amp;n=181602&amp;date=09.06.2025&amp;dst=100188&amp;field=134&amp;demo=2" TargetMode = "External"/>
	<Relationship Id="rId24" Type="http://schemas.openxmlformats.org/officeDocument/2006/relationships/hyperlink" Target="https://login.consultant.ru/link/?req=doc&amp;base=LAW&amp;n=493210&amp;date=09.06.2025&amp;dst=100995&amp;field=134&amp;demo=2" TargetMode = "External"/>
	<Relationship Id="rId25" Type="http://schemas.openxmlformats.org/officeDocument/2006/relationships/hyperlink" Target="https://login.consultant.ru/link/?req=doc&amp;base=LAW&amp;n=482692&amp;date=09.06.2025&amp;dst=102127&amp;field=134&amp;demo=2" TargetMode = "External"/>
	<Relationship Id="rId26" Type="http://schemas.openxmlformats.org/officeDocument/2006/relationships/hyperlink" Target="https://login.consultant.ru/link/?req=doc&amp;base=LAW&amp;n=482692&amp;date=09.06.2025&amp;demo=2" TargetMode = "External"/>
	<Relationship Id="rId27" Type="http://schemas.openxmlformats.org/officeDocument/2006/relationships/hyperlink" Target="https://login.consultant.ru/link/?req=doc&amp;base=LAW&amp;n=218822&amp;date=09.06.2025&amp;dst=100039&amp;field=134&amp;demo=2" TargetMode = "External"/>
	<Relationship Id="rId28" Type="http://schemas.openxmlformats.org/officeDocument/2006/relationships/hyperlink" Target="https://login.consultant.ru/link/?req=doc&amp;base=ARB&amp;n=530392&amp;date=09.06.2025&amp;demo=2" TargetMode = "External"/>
	<Relationship Id="rId29" Type="http://schemas.openxmlformats.org/officeDocument/2006/relationships/hyperlink" Target="https://login.consultant.ru/link/?req=doc&amp;base=LAW&amp;n=493210&amp;date=09.06.2025&amp;demo=2" TargetMode = "External"/>
	<Relationship Id="rId30" Type="http://schemas.openxmlformats.org/officeDocument/2006/relationships/hyperlink" Target="https://login.consultant.ru/link/?req=doc&amp;base=ARB&amp;n=761039&amp;date=09.06.2025&amp;demo=2" TargetMode = "External"/>
	<Relationship Id="rId31" Type="http://schemas.openxmlformats.org/officeDocument/2006/relationships/hyperlink" Target="https://login.consultant.ru/link/?req=doc&amp;base=LAW&amp;n=490536&amp;date=09.06.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30.04.2025 N 25920-ДН/04
&lt;О плате за жилое помещение и коммунальные услуги&gt;</dc:title>
  <dcterms:created xsi:type="dcterms:W3CDTF">2025-06-09T13:30:35Z</dcterms:created>
</cp:coreProperties>
</file>