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center"/>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3 июня 2025 г. N 31985-ДН/04</w:t>
      </w:r>
    </w:p>
    <w:p>
      <w:pPr>
        <w:pStyle w:val="0"/>
        <w:ind w:firstLine="54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пределах компетенции сообщает следующее.</w:t>
      </w:r>
    </w:p>
    <w:p>
      <w:pPr>
        <w:pStyle w:val="0"/>
        <w:spacing w:before="240" w:line-rule="auto"/>
        <w:ind w:firstLine="540"/>
        <w:jc w:val="both"/>
      </w:pPr>
      <w:r>
        <w:rPr>
          <w:sz w:val="24"/>
        </w:rPr>
        <w:t xml:space="preserve">На основании </w:t>
      </w:r>
      <w:hyperlink w:history="0" r:id="rId6" w:tooltip="Постановление Правительства РФ от 18.11.2013 N 1038 (ред. от 27.03.2025) &quot;О Министерстве строительства и жилищно-коммунального хозяйства Российской Федерации&quot; (вместе с &quot;Положением о Министерстве строительства и жилищно-коммунального хозяйства Российской Федерации&quot;) {КонсультантПлюс}">
        <w:r>
          <w:rPr>
            <w:sz w:val="24"/>
            <w:color w:val="0000ff"/>
          </w:rPr>
          <w:t xml:space="preserve">Положения</w:t>
        </w:r>
      </w:hyperlink>
      <w:r>
        <w:rPr>
          <w:sz w:val="24"/>
        </w:rPr>
        <w:t xml:space="preserve"> о Министерстве строительства и жилищно-коммунального хозяйства Российской Федерации, утвержденного постановлением Правительства Российской Федерации от 18 ноября 2013 г. N 1038, Минстрой России является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установленной сфере деятельности. Минстрой России не обладает правом давать оценку конкретной ситуации и правоотношениям.</w:t>
      </w:r>
    </w:p>
    <w:p>
      <w:pPr>
        <w:pStyle w:val="0"/>
        <w:spacing w:before="240" w:line-rule="auto"/>
        <w:ind w:firstLine="540"/>
        <w:jc w:val="both"/>
      </w:pPr>
      <w:hyperlink w:history="0" r:id="rId7"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Постановлением</w:t>
        </w:r>
      </w:hyperlink>
      <w:r>
        <w:rPr>
          <w:sz w:val="24"/>
        </w:rPr>
        <w:t xml:space="preserve"> Конституционного Суда Российской Федерации от 18 апреля 2024 г. N 19-П "По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"Мир" рассмотрены отношения по прекращению договора управления многоквартирным домом по окончании срока его действия.</w:t>
      </w:r>
    </w:p>
    <w:p>
      <w:pPr>
        <w:pStyle w:val="0"/>
        <w:spacing w:before="240" w:line-rule="auto"/>
        <w:ind w:firstLine="540"/>
        <w:jc w:val="both"/>
      </w:pPr>
      <w:r>
        <w:rPr>
          <w:sz w:val="24"/>
        </w:rPr>
        <w:t xml:space="preserve">В </w:t>
      </w:r>
      <w:hyperlink w:history="0" r:id="rId8"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пунктах 1</w:t>
        </w:r>
      </w:hyperlink>
      <w:r>
        <w:rPr>
          <w:sz w:val="24"/>
        </w:rPr>
        <w:t xml:space="preserve"> и </w:t>
      </w:r>
      <w:hyperlink w:history="0" r:id="rId9"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2</w:t>
        </w:r>
      </w:hyperlink>
      <w:r>
        <w:rPr>
          <w:sz w:val="24"/>
        </w:rPr>
        <w:t xml:space="preserve"> постановляющей части указанного Постановления Конституционный Суд Российской Федерации постановил:</w:t>
      </w:r>
    </w:p>
    <w:p>
      <w:pPr>
        <w:pStyle w:val="0"/>
        <w:spacing w:before="240" w:line-rule="auto"/>
        <w:ind w:firstLine="540"/>
        <w:jc w:val="both"/>
      </w:pPr>
      <w:r>
        <w:rPr>
          <w:sz w:val="24"/>
        </w:rPr>
        <w:t xml:space="preserve">Признать взаимосвязанные </w:t>
      </w:r>
      <w:hyperlink w:history="0" r:id="rId1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10 статьи 162</w:t>
        </w:r>
      </w:hyperlink>
      <w:r>
        <w:rPr>
          <w:sz w:val="24"/>
        </w:rPr>
        <w:t xml:space="preserve"> и </w:t>
      </w:r>
      <w:hyperlink w:history="0" r:id="rId1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3 статьи 200</w:t>
        </w:r>
      </w:hyperlink>
      <w:r>
        <w:rPr>
          <w:sz w:val="24"/>
        </w:rPr>
        <w:t xml:space="preserve"> Жилищного кодекса Российской Федерации (далее - ЖК РФ) (как в редакции, действовавшей до вступления в силу Федерального </w:t>
      </w:r>
      <w:hyperlink w:history="0" r:id="rId12" w:tooltip="Федеральный закон от 24.06.2023 N 273-ФЗ &quot;О внесении изменений в статьи 199 и 200 Жилищного кодекса Российской Федерации&quot; {КонсультантПлюс}">
        <w:r>
          <w:rPr>
            <w:sz w:val="24"/>
            <w:color w:val="0000ff"/>
          </w:rPr>
          <w:t xml:space="preserve">закона</w:t>
        </w:r>
      </w:hyperlink>
      <w:r>
        <w:rPr>
          <w:sz w:val="24"/>
        </w:rPr>
        <w:t xml:space="preserve"> от 24 июня 2023 г. N 273-ФЗ, так и в актуальной редакции) не противоречащими </w:t>
      </w:r>
      <w:hyperlink w:history="0" r:id="rId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своему конституционно-правовому смыслу в системе действующего правового регулирования они предполагают, что во всяком случае на управляющую организацию, не передавшую техническую документацию и другие связанные с управлением многоквартирным домом документы, технические средства и оборудование, необходимые для эксплуатации многоквартирного дома и управления им, новому субъекту управления, возлагается обязанность продолжить управление многоквартирным домом после прекращения договора управления таким домом в связи с окончанием срока его действия и внесения об этом сведений в реестр лицензий субъекта Российской Федерации до возникновения обязательств по управлению многоквартирным домом у другой управляющей организации либо до наступления иных обстоятельств, определенных </w:t>
      </w:r>
      <w:hyperlink w:history="0" r:id="rId1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3 статьи 200</w:t>
        </w:r>
      </w:hyperlink>
      <w:r>
        <w:rPr>
          <w:sz w:val="24"/>
        </w:rPr>
        <w:t xml:space="preserve"> ЖК РФ.</w:t>
      </w:r>
    </w:p>
    <w:p>
      <w:pPr>
        <w:pStyle w:val="0"/>
        <w:spacing w:before="240" w:line-rule="auto"/>
        <w:ind w:firstLine="540"/>
        <w:jc w:val="both"/>
      </w:pPr>
      <w:r>
        <w:rPr>
          <w:sz w:val="24"/>
        </w:rPr>
        <w:t xml:space="preserve">Выявленный в данном </w:t>
      </w:r>
      <w:hyperlink w:history="0" r:id="rId15" w:tooltip="Постановление Конституционного Суда РФ от 18.04.2024 N 19-П &quot;По делу о проверке конституционности части 10 статьи 162 и части 3 статьи 200 Жилищного кодекса Российской Федерации в связи с жалобой общества с ограниченной ответственностью Управляющая компания &quot;Мир&quot; {КонсультантПлюс}">
        <w:r>
          <w:rPr>
            <w:sz w:val="24"/>
            <w:color w:val="0000ff"/>
          </w:rPr>
          <w:t xml:space="preserve">Постановлении</w:t>
        </w:r>
      </w:hyperlink>
      <w:r>
        <w:rPr>
          <w:sz w:val="24"/>
        </w:rPr>
        <w:t xml:space="preserve"> конституционно-правовой смысл взаимосвязанных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10 статьи 162</w:t>
        </w:r>
      </w:hyperlink>
      <w:r>
        <w:rPr>
          <w:sz w:val="24"/>
        </w:rPr>
        <w:t xml:space="preserve"> и </w:t>
      </w:r>
      <w:hyperlink w:history="0" r:id="rId1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3 статьи 200</w:t>
        </w:r>
      </w:hyperlink>
      <w:r>
        <w:rPr>
          <w:sz w:val="24"/>
        </w:rPr>
        <w:t xml:space="preserve"> Жилищного кодекса Российской Федерации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Из приведенной позиции Конституционного Суда Российской Федерации следует, что по окончании срока действия договора управления многоквартирным домом управляющая организация прекращает управление таким многоквартирным домом по правилам, установленным </w:t>
      </w:r>
      <w:hyperlink w:history="0" r:id="rId1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200</w:t>
        </w:r>
      </w:hyperlink>
      <w:r>
        <w:rPr>
          <w:sz w:val="24"/>
        </w:rPr>
        <w:t xml:space="preserve"> Жилищного кодекса Российской Федерации (далее - ЖК РФ). В соответствии с </w:t>
      </w:r>
      <w:hyperlink w:history="0" r:id="rId1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200</w:t>
        </w:r>
      </w:hyperlink>
      <w:r>
        <w:rPr>
          <w:sz w:val="24"/>
        </w:rPr>
        <w:t xml:space="preserve"> ЖК РФ порядок прекращения деятельности по управлению многоквартирным домом определяется Правительством Российской Федерации.</w:t>
      </w:r>
    </w:p>
    <w:p>
      <w:pPr>
        <w:pStyle w:val="0"/>
        <w:spacing w:before="240" w:line-rule="auto"/>
        <w:ind w:firstLine="540"/>
        <w:jc w:val="both"/>
      </w:pPr>
      <w:r>
        <w:rPr>
          <w:sz w:val="24"/>
        </w:rPr>
        <w:t xml:space="preserve">Такой порядок установлен </w:t>
      </w:r>
      <w:hyperlink w:history="0" r:id="rId20"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пунктами 24</w:t>
        </w:r>
      </w:hyperlink>
      <w:r>
        <w:rPr>
          <w:sz w:val="24"/>
        </w:rPr>
        <w:t xml:space="preserve"> - </w:t>
      </w:r>
      <w:hyperlink w:history="0" r:id="rId21"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26</w:t>
        </w:r>
      </w:hyperlink>
      <w:r>
        <w:rPr>
          <w:sz w:val="24"/>
        </w:rPr>
        <w:t xml:space="preserve"> Правил осуществления деятельности по управлению многоквартирными домами, утвержденных постановлением Правительства Российской Федерации от 15 мая 2013 г. N 416 (далее - Правила N 416), в соответствии с которыми в случае исключения сведений о многоквартирном доме из реестра лицензий субъекта Российской Федерации дата прекращения договора управления определяется днем, предшествующим дню начала управления многоквартирным домом новым выбранным собственниками лицом или отобранной или выбранной органом местного самоуправления управляющей организацией. При этом все договоры с подрядными, специализированными и ресурсоснабжающими организациями прекращаются одновременно с прекращением договора управления.</w:t>
      </w:r>
    </w:p>
    <w:p>
      <w:pPr>
        <w:pStyle w:val="0"/>
        <w:spacing w:before="240" w:line-rule="auto"/>
        <w:ind w:firstLine="540"/>
        <w:jc w:val="both"/>
      </w:pPr>
      <w:r>
        <w:rPr>
          <w:sz w:val="24"/>
        </w:rPr>
        <w:t xml:space="preserve">В силу таких установленных Правительством Российской Федерации правил управляющая организация по окончании срока действия договора управления продолжает деятельность по управлению многоквартирным домом на условиях, установленных договором управления, срок действия которого продлевается в силу закона (</w:t>
      </w:r>
      <w:hyperlink w:history="0" r:id="rId2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 200</w:t>
        </w:r>
      </w:hyperlink>
      <w:r>
        <w:rPr>
          <w:sz w:val="24"/>
        </w:rPr>
        <w:t xml:space="preserve"> ЖК РФ) до даты, определяемой в соответствии с </w:t>
      </w:r>
      <w:hyperlink w:history="0" r:id="rId23" w:tooltip="Постановление Правительства РФ от 15.05.2013 N 416 (ред. от 21.12.2023) &quot;О порядке осуществления деятельности по управлению многоквартирными домами&quot; (вместе с &quot;Правилами осуществления деятельности по управлению многоквартирными домами&quot;) {КонсультантПлюс}">
        <w:r>
          <w:rPr>
            <w:sz w:val="24"/>
            <w:color w:val="0000ff"/>
          </w:rPr>
          <w:t xml:space="preserve">пунктом 24</w:t>
        </w:r>
      </w:hyperlink>
      <w:r>
        <w:rPr>
          <w:sz w:val="24"/>
        </w:rPr>
        <w:t xml:space="preserve"> Правил N 416. В указанный период управляющая организация несет ответственность за надлежащее содержание общего имущества в многоквартирном доме в соответствии с минимальным перечнем работ, услуг, что не предусматривает необходимость его утверждения общим собранием собственников помещений (</w:t>
      </w:r>
      <w:hyperlink w:history="0" r:id="rId2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1.2</w:t>
        </w:r>
      </w:hyperlink>
      <w:r>
        <w:rPr>
          <w:sz w:val="24"/>
        </w:rPr>
        <w:t xml:space="preserve"> и </w:t>
      </w:r>
      <w:hyperlink w:history="0" r:id="rId2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2.3 статьи 161</w:t>
        </w:r>
      </w:hyperlink>
      <w:r>
        <w:rPr>
          <w:sz w:val="24"/>
        </w:rPr>
        <w:t xml:space="preserve"> ЖК РФ), ведет расчеты с потребителями по размеру платы за содержание жилого помещения, применяемого до срока окончания действия договора управления, продолжает предоставление коммунальных услуг, по которым она являлась исполнителем до срока окончания договора управления, продолжает вести расчеты с потребителями и с ресурсоснабжающими организациями по покупке (продаже) коммунальных ресурсов, потребляемых при использовании и содержании общего имущества в многоквартирном доме, которые осуществляла управляющая организация до окончания срока действия договора управления.</w:t>
      </w:r>
    </w:p>
    <w:p>
      <w:pPr>
        <w:pStyle w:val="0"/>
        <w:spacing w:before="240" w:line-rule="auto"/>
        <w:ind w:firstLine="540"/>
        <w:jc w:val="both"/>
      </w:pPr>
      <w:r>
        <w:rPr>
          <w:sz w:val="24"/>
        </w:rPr>
        <w:t xml:space="preserve">Дополнительно сообщаем, что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03.06.2025 N 31985-ДН/04</w:t>
            <w:br/>
            <w:t>&lt;Об окончании срока действия договора об управлении многоквартирным...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03.06.2025 N 31985-ДН/04 &lt;Об окончании срока действия договора об управлении многоквартирным...</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09.06.2025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01971&amp;date=09.06.2025&amp;dst=166&amp;field=134&amp;demo=2" TargetMode = "External"/>
	<Relationship Id="rId7" Type="http://schemas.openxmlformats.org/officeDocument/2006/relationships/hyperlink" Target="https://login.consultant.ru/link/?req=doc&amp;base=LAW&amp;n=474741&amp;date=09.06.2025&amp;demo=2" TargetMode = "External"/>
	<Relationship Id="rId8" Type="http://schemas.openxmlformats.org/officeDocument/2006/relationships/hyperlink" Target="https://login.consultant.ru/link/?req=doc&amp;base=LAW&amp;n=474741&amp;date=09.06.2025&amp;dst=100052&amp;field=134&amp;demo=2" TargetMode = "External"/>
	<Relationship Id="rId9" Type="http://schemas.openxmlformats.org/officeDocument/2006/relationships/hyperlink" Target="https://login.consultant.ru/link/?req=doc&amp;base=LAW&amp;n=474741&amp;date=09.06.2025&amp;dst=100053&amp;field=134&amp;demo=2" TargetMode = "External"/>
	<Relationship Id="rId10" Type="http://schemas.openxmlformats.org/officeDocument/2006/relationships/hyperlink" Target="https://login.consultant.ru/link/?req=doc&amp;base=LAW&amp;n=493210&amp;date=09.06.2025&amp;dst=713&amp;field=134&amp;demo=2" TargetMode = "External"/>
	<Relationship Id="rId11" Type="http://schemas.openxmlformats.org/officeDocument/2006/relationships/hyperlink" Target="https://login.consultant.ru/link/?req=doc&amp;base=LAW&amp;n=493210&amp;date=09.06.2025&amp;dst=1135&amp;field=134&amp;demo=2" TargetMode = "External"/>
	<Relationship Id="rId12" Type="http://schemas.openxmlformats.org/officeDocument/2006/relationships/hyperlink" Target="https://login.consultant.ru/link/?req=doc&amp;base=LAW&amp;n=450403&amp;date=09.06.2025&amp;demo=2" TargetMode = "External"/>
	<Relationship Id="rId13" Type="http://schemas.openxmlformats.org/officeDocument/2006/relationships/hyperlink" Target="https://login.consultant.ru/link/?req=doc&amp;base=LAW&amp;n=2875&amp;date=09.06.2025&amp;demo=2" TargetMode = "External"/>
	<Relationship Id="rId14" Type="http://schemas.openxmlformats.org/officeDocument/2006/relationships/hyperlink" Target="https://login.consultant.ru/link/?req=doc&amp;base=LAW&amp;n=493210&amp;date=09.06.2025&amp;dst=1135&amp;field=134&amp;demo=2" TargetMode = "External"/>
	<Relationship Id="rId15" Type="http://schemas.openxmlformats.org/officeDocument/2006/relationships/hyperlink" Target="https://login.consultant.ru/link/?req=doc&amp;base=LAW&amp;n=474741&amp;date=09.06.2025&amp;dst=100053&amp;field=134&amp;demo=2" TargetMode = "External"/>
	<Relationship Id="rId16" Type="http://schemas.openxmlformats.org/officeDocument/2006/relationships/hyperlink" Target="https://login.consultant.ru/link/?req=doc&amp;base=LAW&amp;n=493210&amp;date=09.06.2025&amp;dst=713&amp;field=134&amp;demo=2" TargetMode = "External"/>
	<Relationship Id="rId17" Type="http://schemas.openxmlformats.org/officeDocument/2006/relationships/hyperlink" Target="https://login.consultant.ru/link/?req=doc&amp;base=LAW&amp;n=493210&amp;date=09.06.2025&amp;dst=1135&amp;field=134&amp;demo=2" TargetMode = "External"/>
	<Relationship Id="rId18" Type="http://schemas.openxmlformats.org/officeDocument/2006/relationships/hyperlink" Target="https://login.consultant.ru/link/?req=doc&amp;base=LAW&amp;n=493210&amp;date=09.06.2025&amp;dst=501&amp;field=134&amp;demo=2" TargetMode = "External"/>
	<Relationship Id="rId19" Type="http://schemas.openxmlformats.org/officeDocument/2006/relationships/hyperlink" Target="https://login.consultant.ru/link/?req=doc&amp;base=LAW&amp;n=493210&amp;date=09.06.2025&amp;dst=1134&amp;field=134&amp;demo=2" TargetMode = "External"/>
	<Relationship Id="rId20" Type="http://schemas.openxmlformats.org/officeDocument/2006/relationships/hyperlink" Target="https://login.consultant.ru/link/?req=doc&amp;base=LAW&amp;n=465381&amp;date=09.06.2025&amp;dst=140&amp;field=134&amp;demo=2" TargetMode = "External"/>
	<Relationship Id="rId21" Type="http://schemas.openxmlformats.org/officeDocument/2006/relationships/hyperlink" Target="https://login.consultant.ru/link/?req=doc&amp;base=LAW&amp;n=465381&amp;date=09.06.2025&amp;dst=142&amp;field=134&amp;demo=2" TargetMode = "External"/>
	<Relationship Id="rId22" Type="http://schemas.openxmlformats.org/officeDocument/2006/relationships/hyperlink" Target="https://login.consultant.ru/link/?req=doc&amp;base=LAW&amp;n=493210&amp;date=09.06.2025&amp;dst=501&amp;field=134&amp;demo=2" TargetMode = "External"/>
	<Relationship Id="rId23" Type="http://schemas.openxmlformats.org/officeDocument/2006/relationships/hyperlink" Target="https://login.consultant.ru/link/?req=doc&amp;base=LAW&amp;n=465381&amp;date=09.06.2025&amp;dst=140&amp;field=134&amp;demo=2" TargetMode = "External"/>
	<Relationship Id="rId24" Type="http://schemas.openxmlformats.org/officeDocument/2006/relationships/hyperlink" Target="https://login.consultant.ru/link/?req=doc&amp;base=LAW&amp;n=493210&amp;date=09.06.2025&amp;dst=101115&amp;field=134&amp;demo=2" TargetMode = "External"/>
	<Relationship Id="rId25" Type="http://schemas.openxmlformats.org/officeDocument/2006/relationships/hyperlink" Target="https://login.consultant.ru/link/?req=doc&amp;base=LAW&amp;n=493210&amp;date=09.06.2025&amp;dst=1118&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03.06.2025 N 31985-ДН/04
&lt;Об окончании срока действия договора об управлении многоквартирным домом&gt;</dc:title>
  <dcterms:created xsi:type="dcterms:W3CDTF">2025-06-09T14:00:00Z</dcterms:created>
</cp:coreProperties>
</file>