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3 июня 2025 г. N 32025-ДН/04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обращения и в пределах компетенции сообщает.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Постановление Правительства РФ от 18.11.2013 N 1038 (ред. от 27.03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утвержденным постановлением Правительства Российской Федерации от 18.11.2013 N 1038, рассмотрение конкретных правовых ситуаций, спорных вопросов применения законодательства, возникающих между юридическими и (или) физическими лицами, их юридическая оценка не входят в компетенцию Минстроя России.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Вместе с тем сообщается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части определения эксплуатационной границы в рамках технического обслуживания и ремонта внутридомового и внутриквартирного газового оборудования.</w:t>
      </w:r>
    </w:p>
    <w:p>
      <w:pPr>
        <w:pStyle w:val="0"/>
        <w:spacing w:before="240" w:line-rule="auto"/>
        <w:ind w:firstLine="540"/>
        <w:jc w:val="both"/>
      </w:pPr>
      <w:hyperlink w:history="0" r:id="rId7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Абзац третий пункта 5</w:t>
        </w:r>
      </w:hyperlink>
      <w:r>
        <w:rPr>
          <w:sz w:val="24"/>
        </w:rPr>
        <w:t xml:space="preserve"> Правил содержания общего имущества в многоквартирном доме, утвержденных постановлением Правительства Российской Федерации от 13.08.2006 N 491 (далее - Правила N 491), устанавливает, что в состав общего имущества включаются внутридомовая инженерная система газоснабжения, состоящая из газопроводов, проложенных от источника газа (при использовании сжиженного углеводородного газа) или места присоединения указанных газопроводов к сети газораспределения до запорной арматуры (крана) включительно, расположенной на ответвлениях (опусках) к внутриквартирному газовому оборудованию, резервуарных и (или) групповых баллонных установок сжиженных углеводородных газов, предназначенных для подачи газа в один многоквартирный дом, газоиспользующего оборудования (за исключением бытового газоиспользующего оборудования, входящего в состав внутриквартирного газового оборудования), технических устройств на газопроводах, в том числе регулирующей и предохранительной арматуры, системы контроля загазованности помещений, коллективных (общедомовых) приборов учета газа, а также приборов учета газа, фиксирующих объем газа, используемого при производстве коммунальной услуги по отоплению и (или) горячему водоснабжению.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Постановление Правительства РФ от 14.05.2013 N 410 (ред. от 29.05.2023) &quot;О мерах по обеспечению безопасности при использовании и содержании внутридомового и внутриквартирного газового оборудования&quot; (вместе с &quot;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&quot;) {КонсультантПлюс}">
        <w:r>
          <w:rPr>
            <w:sz w:val="24"/>
            <w:color w:val="0000ff"/>
          </w:rPr>
          <w:t xml:space="preserve">абзацами четыре</w:t>
        </w:r>
      </w:hyperlink>
      <w:r>
        <w:rPr>
          <w:sz w:val="24"/>
        </w:rPr>
        <w:t xml:space="preserve"> и </w:t>
      </w:r>
      <w:hyperlink w:history="0" r:id="rId9" w:tooltip="Постановление Правительства РФ от 14.05.2013 N 410 (ред. от 29.05.2023) &quot;О мерах по обеспечению безопасности при использовании и содержании внутридомового и внутриквартирного газового оборудования&quot; (вместе с &quot;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&quot;) {КонсультантПлюс}">
        <w:r>
          <w:rPr>
            <w:sz w:val="24"/>
            <w:color w:val="0000ff"/>
          </w:rPr>
          <w:t xml:space="preserve">пять пункта 2</w:t>
        </w:r>
      </w:hyperlink>
      <w:r>
        <w:rPr>
          <w:sz w:val="24"/>
        </w:rPr>
        <w:t xml:space="preserve"> Правил обеспечения безопасности при использовании и содержании внутридомового и внутриквартирного газового оборудования, утвержденных постановлением Правительства Российской Федерации от 14.05.2013 N 410 (далее - Правила N 410) внутридомовым газовым оборудованием в многоквартирном доме - являющиеся общим имуществом собственников помещений газопроводы, проложенные от источника газа (при использовании сжиженного углеводородного газа) или места присоединения указанных газопроводов к сети газораспределения до запорной арматуры (крана) включительно, расположенной на ответвлениях (опусках) к внутриквартирному газовому оборудованию, резервуарные и (или) групповые баллонные установки сжиженных углеводородных газов, предназначенные для подачи газа в один многоквартирный дом, газоиспользующее оборудование (за исключением бытового газоиспользующего оборудования, входящего в состав внутриквартирного газового оборудования), технические устройства на газопроводах, в том числе регулирующая и предохранительная арматура, системы контроля загазованности помещений, коллективные (общедомовые) приборы учета газа, а также приборы учета газа, фиксирующие объем газа, используемого при производстве коммунальной услуги по отоплению и (или) горячему водоснабжению.</w:t>
      </w:r>
    </w:p>
    <w:p>
      <w:pPr>
        <w:pStyle w:val="0"/>
        <w:spacing w:before="240" w:line-rule="auto"/>
        <w:ind w:firstLine="540"/>
        <w:jc w:val="both"/>
      </w:pPr>
      <w:hyperlink w:history="0" r:id="rId10" w:tooltip="Постановление Правительства РФ от 14.05.2013 N 410 (ред. от 29.05.2023) &quot;О мерах по обеспечению безопасности при использовании и содержании внутридомового и внутриквартирного газового оборудования&quot; (вместе с &quot;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&quot;) {КонсультантПлюс}">
        <w:r>
          <w:rPr>
            <w:sz w:val="24"/>
            <w:color w:val="0000ff"/>
          </w:rPr>
          <w:t xml:space="preserve">Абзац седьмой пункта 2</w:t>
        </w:r>
      </w:hyperlink>
      <w:r>
        <w:rPr>
          <w:sz w:val="24"/>
        </w:rPr>
        <w:t xml:space="preserve"> Правил N 410 устанавливает, что внутриквартирное газовое оборудование - газопроводы многоквартирного дома, проложенные после запорной арматуры (крана), расположенной на ответвлениях (опусках) к внутриквартирному газовому оборудованию, до бытового газоиспользующего оборудования, размещенного внутри помещения, бытовое газоиспользующее оборудование и технические устройства на газопроводах, в том числе регулирующая и предохранительная арматура, системы контроля загазованности помещений, индивидуальный или общий (квартирный) прибор учета газа.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Дополнительно отмечается, что </w:t>
      </w:r>
      <w:hyperlink w:history="0" r:id="rId11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 1 статьи 36</w:t>
        </w:r>
      </w:hyperlink>
      <w:r>
        <w:rPr>
          <w:sz w:val="24"/>
        </w:rPr>
        <w:t xml:space="preserve"> Жилищного кодекса Российской Федерации (далее - ЖК РФ) определяет, что собственникам помещений в многоквартирном доме принадлежит на праве общей долевой собственности общее имущество в многоквартирном доме.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Состав общего имущества закреплен </w:t>
      </w:r>
      <w:hyperlink w:history="0" r:id="rId12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частью 1 статьи 36</w:t>
        </w:r>
      </w:hyperlink>
      <w:r>
        <w:rPr>
          <w:sz w:val="24"/>
        </w:rPr>
        <w:t xml:space="preserve"> ЖК РФ, </w:t>
      </w:r>
      <w:hyperlink w:history="0" r:id="rId13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пунктами 2</w:t>
        </w:r>
      </w:hyperlink>
      <w:r>
        <w:rPr>
          <w:sz w:val="24"/>
        </w:rPr>
        <w:t xml:space="preserve">, </w:t>
      </w:r>
      <w:hyperlink w:history="0" r:id="rId14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, </w:t>
      </w:r>
      <w:hyperlink w:history="0" r:id="rId15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6</w:t>
        </w:r>
      </w:hyperlink>
      <w:r>
        <w:rPr>
          <w:sz w:val="24"/>
        </w:rPr>
        <w:t xml:space="preserve">, </w:t>
      </w:r>
      <w:hyperlink w:history="0" r:id="rId16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 Правил N 491.</w:t>
      </w:r>
    </w:p>
    <w:p>
      <w:pPr>
        <w:pStyle w:val="0"/>
        <w:spacing w:before="240" w:line-rule="auto"/>
        <w:ind w:firstLine="540"/>
        <w:jc w:val="both"/>
      </w:pPr>
      <w:hyperlink w:history="0" r:id="rId17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Пункт 1 статьи 38</w:t>
        </w:r>
      </w:hyperlink>
      <w:r>
        <w:rPr>
          <w:sz w:val="24"/>
        </w:rPr>
        <w:t xml:space="preserve"> ЖК РФ устанавливает, что собственники помещений в многоквартирном доме несут бремя расходов на содержание общего имущества в многоквартирном доме.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8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пунктам 3</w:t>
        </w:r>
      </w:hyperlink>
      <w:r>
        <w:rPr>
          <w:sz w:val="24"/>
        </w:rPr>
        <w:t xml:space="preserve">, </w:t>
      </w:r>
      <w:hyperlink w:history="0" r:id="rId19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4</w:t>
        </w:r>
      </w:hyperlink>
      <w:r>
        <w:rPr>
          <w:sz w:val="24"/>
        </w:rPr>
        <w:t xml:space="preserve"> Правил N 491 при определении состава общего имущества используются содержащиеся в Едином государственном реестре прав на недвижимое имущество и сделок с ним (далее - Реестр) сведения о правах на объекты недвижимости, являющиеся общим имуществом, а также сведения, содержащиеся в государственном земельном кадастре.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20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статьей 210</w:t>
        </w:r>
      </w:hyperlink>
      <w:r>
        <w:rPr>
          <w:sz w:val="24"/>
        </w:rPr>
        <w:t xml:space="preserve"> Гражданского кодекса Российской Федерации (далее - ГК РФ) собственник несет бремя содержания принадлежащего ему имущества, если иное не предусмотрено законом или договором.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действующим законодательством Российской Федерации определена эксплуатационная граница в рамках технического обслуживания и ремонта внутридомового и внутриквартирного газового оборудования.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учетом вышеизложенного отмечается, что варочная панель, как составная часть плиты, относится к внутриквартирному газовому оборудованию. Бремя расходов на содержание внутриквартирного газового оборудования несет собственник помещения в многоквартирном доме.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вопросу балансовой принадлежности запорного устройства.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смысла </w:t>
      </w:r>
      <w:hyperlink w:history="0" r:id="rId21" w:tooltip="Постановление Правительства РФ от 14.05.2013 N 410 (ред. от 29.05.2023) &quot;О мерах по обеспечению безопасности при использовании и содержании внутридомового и внутриквартирного газового оборудования&quot; (вместе с &quot;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&quot;) {КонсультантПлюс}">
        <w:r>
          <w:rPr>
            <w:sz w:val="24"/>
            <w:color w:val="0000ff"/>
          </w:rPr>
          <w:t xml:space="preserve">пункта 80</w:t>
        </w:r>
      </w:hyperlink>
      <w:r>
        <w:rPr>
          <w:sz w:val="24"/>
        </w:rPr>
        <w:t xml:space="preserve"> Правил N 410 вытекает, что Исполнитель вправе приостановить подачу газа с предварительным письменным уведомлением заказчика.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2" w:tooltip="Постановление Правительства РФ от 14.05.2013 N 410 (ред. от 29.05.2023) &quot;О мерах по обеспечению безопасности при использовании и содержании внутридомового и внутриквартирного газового оборудования&quot; (вместе с &quot;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&quot;) {КонсультантПлюс}">
        <w:r>
          <w:rPr>
            <w:sz w:val="24"/>
            <w:color w:val="0000ff"/>
          </w:rPr>
          <w:t xml:space="preserve">абзацу десять пункта 2</w:t>
        </w:r>
      </w:hyperlink>
      <w:r>
        <w:rPr>
          <w:sz w:val="24"/>
        </w:rPr>
        <w:t xml:space="preserve"> Правил N 410 "исполнитель" - специализированная организация, которая на основании договора о техническом обслуживании и ремонте внутридомового газового оборудования в многоквартирном доме или договора о техническом обслуживании внутриквартирного газового оборудования в многоквартирном доме, или договора о техническом обслуживании внутридомового газового оборудования в жилом доме (домовладении), являющихся смешанными договорами, содержащими элементы договора подряда и договора возмездного оказания услуг, приняла на себя обязательства по выполнению работ (оказанию услуг), предусмотренных договором о техническом обслуживании и ремонте внутридомового газового оборудования в многоквартирном доме, или договором о техническом обслуживании внутриквартирного газового оборудования в многоквартирном доме, или договором о техническом обслуживании внутридомового газового оборудования в жилом доме (домовладении).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3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пункту 9</w:t>
        </w:r>
      </w:hyperlink>
      <w:r>
        <w:rPr>
          <w:sz w:val="24"/>
        </w:rPr>
        <w:t xml:space="preserve"> Правил N 491 внешней границей сетей газоснабжения, входящих в состав общего имущества, является место соединения первого запорного устройства с внешней газораспределительной сетью.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внешняя газораспределительная сеть, расположенная до места соединения с запорным устройством, не относится к внутридомовому газовому оборудованию. В свою очередь, запорное устройство, расположенное на газопроводе, проложенном по фасаду здания, и установленное до места соединения с газораспределительной сетью, относится к внутридомовому газовому оборудованию. В этом случае собственники помещений в многоквартирном доме несут бремя расходов за содержание указанного запорного устройства.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24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03.06.2025 N 32025-ДН/04</w:t>
            <w:br/>
            <w:t>&lt;Об определении эксплуатационной границы в рамках технического обсл...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03.06.2025 N 32025-ДН/04 &lt;Об определении эксплуатационной границы в рамках технического обсл...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501971&amp;date=09.06.2025&amp;dst=100015&amp;field=134&amp;demo=2" TargetMode = "External"/>
	<Relationship Id="rId7" Type="http://schemas.openxmlformats.org/officeDocument/2006/relationships/hyperlink" Target="https://login.consultant.ru/link/?req=doc&amp;base=LAW&amp;n=486149&amp;date=09.06.2025&amp;dst=100223&amp;field=134&amp;demo=2" TargetMode = "External"/>
	<Relationship Id="rId8" Type="http://schemas.openxmlformats.org/officeDocument/2006/relationships/hyperlink" Target="https://login.consultant.ru/link/?req=doc&amp;base=LAW&amp;n=448436&amp;date=09.06.2025&amp;dst=100024&amp;field=134&amp;demo=2" TargetMode = "External"/>
	<Relationship Id="rId9" Type="http://schemas.openxmlformats.org/officeDocument/2006/relationships/hyperlink" Target="https://login.consultant.ru/link/?req=doc&amp;base=LAW&amp;n=448436&amp;date=09.06.2025&amp;dst=100348&amp;field=134&amp;demo=2" TargetMode = "External"/>
	<Relationship Id="rId10" Type="http://schemas.openxmlformats.org/officeDocument/2006/relationships/hyperlink" Target="https://login.consultant.ru/link/?req=doc&amp;base=LAW&amp;n=448436&amp;date=09.06.2025&amp;dst=100350&amp;field=134&amp;demo=2" TargetMode = "External"/>
	<Relationship Id="rId11" Type="http://schemas.openxmlformats.org/officeDocument/2006/relationships/hyperlink" Target="https://login.consultant.ru/link/?req=doc&amp;base=LAW&amp;n=493210&amp;date=09.06.2025&amp;dst=101029&amp;field=134&amp;demo=2" TargetMode = "External"/>
	<Relationship Id="rId12" Type="http://schemas.openxmlformats.org/officeDocument/2006/relationships/hyperlink" Target="https://login.consultant.ru/link/?req=doc&amp;base=LAW&amp;n=493210&amp;date=09.06.2025&amp;dst=101029&amp;field=134&amp;demo=2" TargetMode = "External"/>
	<Relationship Id="rId13" Type="http://schemas.openxmlformats.org/officeDocument/2006/relationships/hyperlink" Target="https://login.consultant.ru/link/?req=doc&amp;base=LAW&amp;n=486149&amp;date=09.06.2025&amp;dst=100028&amp;field=134&amp;demo=2" TargetMode = "External"/>
	<Relationship Id="rId14" Type="http://schemas.openxmlformats.org/officeDocument/2006/relationships/hyperlink" Target="https://login.consultant.ru/link/?req=doc&amp;base=LAW&amp;n=486149&amp;date=09.06.2025&amp;dst=2&amp;field=134&amp;demo=2" TargetMode = "External"/>
	<Relationship Id="rId15" Type="http://schemas.openxmlformats.org/officeDocument/2006/relationships/hyperlink" Target="https://login.consultant.ru/link/?req=doc&amp;base=LAW&amp;n=486149&amp;date=09.06.2025&amp;dst=100039&amp;field=134&amp;demo=2" TargetMode = "External"/>
	<Relationship Id="rId16" Type="http://schemas.openxmlformats.org/officeDocument/2006/relationships/hyperlink" Target="https://login.consultant.ru/link/?req=doc&amp;base=LAW&amp;n=486149&amp;date=09.06.2025&amp;dst=100040&amp;field=134&amp;demo=2" TargetMode = "External"/>
	<Relationship Id="rId17" Type="http://schemas.openxmlformats.org/officeDocument/2006/relationships/hyperlink" Target="https://login.consultant.ru/link/?req=doc&amp;base=LAW&amp;n=493210&amp;date=09.06.2025&amp;dst=100282&amp;field=134&amp;demo=2" TargetMode = "External"/>
	<Relationship Id="rId18" Type="http://schemas.openxmlformats.org/officeDocument/2006/relationships/hyperlink" Target="https://login.consultant.ru/link/?req=doc&amp;base=LAW&amp;n=486149&amp;date=09.06.2025&amp;dst=100036&amp;field=134&amp;demo=2" TargetMode = "External"/>
	<Relationship Id="rId19" Type="http://schemas.openxmlformats.org/officeDocument/2006/relationships/hyperlink" Target="https://login.consultant.ru/link/?req=doc&amp;base=LAW&amp;n=486149&amp;date=09.06.2025&amp;dst=100037&amp;field=134&amp;demo=2" TargetMode = "External"/>
	<Relationship Id="rId20" Type="http://schemas.openxmlformats.org/officeDocument/2006/relationships/hyperlink" Target="https://login.consultant.ru/link/?req=doc&amp;base=LAW&amp;n=482692&amp;date=09.06.2025&amp;dst=101130&amp;field=134&amp;demo=2" TargetMode = "External"/>
	<Relationship Id="rId21" Type="http://schemas.openxmlformats.org/officeDocument/2006/relationships/hyperlink" Target="https://login.consultant.ru/link/?req=doc&amp;base=LAW&amp;n=448436&amp;date=09.06.2025&amp;dst=100257&amp;field=134&amp;demo=2" TargetMode = "External"/>
	<Relationship Id="rId22" Type="http://schemas.openxmlformats.org/officeDocument/2006/relationships/hyperlink" Target="https://login.consultant.ru/link/?req=doc&amp;base=LAW&amp;n=448436&amp;date=09.06.2025&amp;dst=12&amp;field=134&amp;demo=2" TargetMode = "External"/>
	<Relationship Id="rId23" Type="http://schemas.openxmlformats.org/officeDocument/2006/relationships/hyperlink" Target="https://login.consultant.ru/link/?req=doc&amp;base=LAW&amp;n=486149&amp;date=09.06.2025&amp;dst=100042&amp;field=134&amp;demo=2" TargetMode = "External"/>
	<Relationship Id="rId24" Type="http://schemas.openxmlformats.org/officeDocument/2006/relationships/hyperlink" Target="https://login.consultant.ru/link/?req=doc&amp;base=LAW&amp;n=490536&amp;date=09.06.2025&amp;dst=15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03.06.2025 N 32025-ДН/04
&lt;Об определении эксплуатационной границы в рамках технического обслуживания и ремонта внутридомового и внутриквартирного газового оборудования и о балансовой принадлежности запорного устройства&gt;</dc:title>
  <dcterms:created xsi:type="dcterms:W3CDTF">2025-06-09T13:56:22Z</dcterms:created>
</cp:coreProperties>
</file>