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12.06.2025 N 891</w:t>
              <w:br/>
              <w:t xml:space="preserve">"Об утверждении Правил назначения и осуществления единовременной выплаты, установленной Указом Президента Российской Федерации от 10 марта 2025 г. N 137 "О дополнительных социальных гарантиях отдельным категориям граждан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12 июня 2025 г. N 891</w:t>
      </w:r>
    </w:p>
    <w:p>
      <w:pPr>
        <w:pStyle w:val="2"/>
        <w:jc w:val="center"/>
      </w:pPr>
      <w:r>
        <w:rPr>
          <w:sz w:val="24"/>
        </w:rPr>
      </w:r>
    </w:p>
    <w:p>
      <w:pPr>
        <w:pStyle w:val="2"/>
        <w:jc w:val="center"/>
      </w:pPr>
      <w:r>
        <w:rPr>
          <w:sz w:val="24"/>
        </w:rPr>
        <w:t xml:space="preserve">ОБ УТВЕРЖДЕНИИ ПРАВИЛ</w:t>
      </w:r>
    </w:p>
    <w:p>
      <w:pPr>
        <w:pStyle w:val="2"/>
        <w:jc w:val="center"/>
      </w:pPr>
      <w:r>
        <w:rPr>
          <w:sz w:val="24"/>
        </w:rPr>
        <w:t xml:space="preserve">НАЗНАЧЕНИЯ И ОСУЩЕСТВЛЕНИЯ ЕДИНОВРЕМЕННОЙ ВЫПЛАТЫ,</w:t>
      </w:r>
    </w:p>
    <w:p>
      <w:pPr>
        <w:pStyle w:val="2"/>
        <w:jc w:val="center"/>
      </w:pPr>
      <w:r>
        <w:rPr>
          <w:sz w:val="24"/>
        </w:rPr>
        <w:t xml:space="preserve">УСТАНОВЛЕННОЙ УКАЗОМ ПРЕЗИДЕНТА РОССИЙСКОЙ ФЕДЕРАЦИИ ОТ 10</w:t>
      </w:r>
    </w:p>
    <w:p>
      <w:pPr>
        <w:pStyle w:val="2"/>
        <w:jc w:val="center"/>
      </w:pPr>
      <w:r>
        <w:rPr>
          <w:sz w:val="24"/>
        </w:rPr>
        <w:t xml:space="preserve">МАРТА 2025 Г. N 137 "О ДОПОЛНИТЕЛЬНЫХ СОЦИАЛЬНЫХ ГАРАНТИЯХ</w:t>
      </w:r>
    </w:p>
    <w:p>
      <w:pPr>
        <w:pStyle w:val="2"/>
        <w:jc w:val="center"/>
      </w:pPr>
      <w:r>
        <w:rPr>
          <w:sz w:val="24"/>
        </w:rPr>
        <w:t xml:space="preserve">ОТДЕЛЬНЫМ КАТЕГОРИЯМ ГРАЖДАН РОССИЙСКОЙ ФЕДЕРАЦИИ"</w:t>
      </w:r>
    </w:p>
    <w:p>
      <w:pPr>
        <w:pStyle w:val="0"/>
        <w:jc w:val="center"/>
      </w:pPr>
      <w:r>
        <w:rPr>
          <w:sz w:val="24"/>
        </w:rPr>
      </w:r>
    </w:p>
    <w:p>
      <w:pPr>
        <w:pStyle w:val="0"/>
        <w:ind w:firstLine="540"/>
        <w:jc w:val="both"/>
      </w:pPr>
      <w:r>
        <w:rPr>
          <w:sz w:val="24"/>
        </w:rPr>
        <w:t xml:space="preserve">В соответствии с </w:t>
      </w:r>
      <w:hyperlink w:history="0" r:id="rId7" w:tooltip="Указ Президента РФ от 10.03.2025 N 137 &quot;О дополнительных социальных гарантиях отдельным категориям граждан Российской Федерации&quot; {КонсультантПлюс}">
        <w:r>
          <w:rPr>
            <w:sz w:val="24"/>
            <w:color w:val="0000ff"/>
          </w:rPr>
          <w:t xml:space="preserve">пунктом 5</w:t>
        </w:r>
      </w:hyperlink>
      <w:r>
        <w:rPr>
          <w:sz w:val="24"/>
        </w:rPr>
        <w:t xml:space="preserve"> Указа Президента Российской Федерации от 10 марта 2025 г. N 137 "О дополнительных социальных гарантиях отдельным категориям граждан Российской Федерации" Правительство Российской Федерации постановляет:</w:t>
      </w:r>
    </w:p>
    <w:p>
      <w:pPr>
        <w:pStyle w:val="0"/>
        <w:spacing w:before="240" w:line-rule="auto"/>
        <w:ind w:firstLine="540"/>
        <w:jc w:val="both"/>
      </w:pPr>
      <w:r>
        <w:rPr>
          <w:sz w:val="24"/>
        </w:rPr>
        <w:t xml:space="preserve">Утвердить прилагаемые </w:t>
      </w:r>
      <w:hyperlink w:history="0" w:anchor="P28" w:tooltip="ПРАВИЛА">
        <w:r>
          <w:rPr>
            <w:sz w:val="24"/>
            <w:color w:val="0000ff"/>
          </w:rPr>
          <w:t xml:space="preserve">Правила</w:t>
        </w:r>
      </w:hyperlink>
      <w:r>
        <w:rPr>
          <w:sz w:val="24"/>
        </w:rPr>
        <w:t xml:space="preserve"> назначения и осуществления единовременной выплаты, установленной Указом Президента Российской Федерации от 10 марта 2025 г. N 137 "О дополнительных социальных гарантиях отдельным категориям граждан Российской Федерации".</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12 июня 2025 г. N 891</w:t>
      </w:r>
    </w:p>
    <w:p>
      <w:pPr>
        <w:pStyle w:val="0"/>
        <w:jc w:val="center"/>
      </w:pPr>
      <w:r>
        <w:rPr>
          <w:sz w:val="24"/>
        </w:rPr>
      </w:r>
    </w:p>
    <w:bookmarkStart w:id="28" w:name="P28"/>
    <w:bookmarkEnd w:id="28"/>
    <w:p>
      <w:pPr>
        <w:pStyle w:val="2"/>
        <w:jc w:val="center"/>
      </w:pPr>
      <w:r>
        <w:rPr>
          <w:sz w:val="24"/>
        </w:rPr>
        <w:t xml:space="preserve">ПРАВИЛА</w:t>
      </w:r>
    </w:p>
    <w:p>
      <w:pPr>
        <w:pStyle w:val="2"/>
        <w:jc w:val="center"/>
      </w:pPr>
      <w:r>
        <w:rPr>
          <w:sz w:val="24"/>
        </w:rPr>
        <w:t xml:space="preserve">НАЗНАЧЕНИЯ И ОСУЩЕСТВЛЕНИЯ ЕДИНОВРЕМЕННОЙ ВЫПЛАТЫ,</w:t>
      </w:r>
    </w:p>
    <w:p>
      <w:pPr>
        <w:pStyle w:val="2"/>
        <w:jc w:val="center"/>
      </w:pPr>
      <w:r>
        <w:rPr>
          <w:sz w:val="24"/>
        </w:rPr>
        <w:t xml:space="preserve">УСТАНОВЛЕННОЙ УКАЗОМ ПРЕЗИДЕНТА РОССИЙСКОЙ ФЕДЕРАЦИИ ОТ 10</w:t>
      </w:r>
    </w:p>
    <w:p>
      <w:pPr>
        <w:pStyle w:val="2"/>
        <w:jc w:val="center"/>
      </w:pPr>
      <w:r>
        <w:rPr>
          <w:sz w:val="24"/>
        </w:rPr>
        <w:t xml:space="preserve">МАРТА 2025 Г. N 137 "О ДОПОЛНИТЕЛЬНЫХ СОЦИАЛЬНЫХ ГАРАНТИЯХ</w:t>
      </w:r>
    </w:p>
    <w:p>
      <w:pPr>
        <w:pStyle w:val="2"/>
        <w:jc w:val="center"/>
      </w:pPr>
      <w:r>
        <w:rPr>
          <w:sz w:val="24"/>
        </w:rPr>
        <w:t xml:space="preserve">ОТДЕЛЬНЫМ КАТЕГОРИЯМ ГРАЖДАН РОССИЙСКОЙ ФЕДЕРАЦИИ"</w:t>
      </w:r>
    </w:p>
    <w:p>
      <w:pPr>
        <w:pStyle w:val="0"/>
        <w:jc w:val="center"/>
      </w:pPr>
      <w:r>
        <w:rPr>
          <w:sz w:val="24"/>
        </w:rPr>
      </w:r>
    </w:p>
    <w:p>
      <w:pPr>
        <w:pStyle w:val="0"/>
        <w:ind w:firstLine="540"/>
        <w:jc w:val="both"/>
      </w:pPr>
      <w:r>
        <w:rPr>
          <w:sz w:val="24"/>
        </w:rPr>
        <w:t xml:space="preserve">1. Настоящие Правила устанавливают порядок назначения и осуществления единовременной выплаты, установленной </w:t>
      </w:r>
      <w:hyperlink w:history="0" r:id="rId8" w:tooltip="Указ Президента РФ от 10.03.2025 N 137 &quot;О дополнительных социальных гарантиях отдельным категориям граждан Российской Федерации&quot; {КонсультантПлюс}">
        <w:r>
          <w:rPr>
            <w:sz w:val="24"/>
            <w:color w:val="0000ff"/>
          </w:rPr>
          <w:t xml:space="preserve">Указом</w:t>
        </w:r>
      </w:hyperlink>
      <w:r>
        <w:rPr>
          <w:sz w:val="24"/>
        </w:rPr>
        <w:t xml:space="preserve"> Президента Российской Федерации от 10 марта 2025 г. N 137 "О дополнительных социальных гарантиях отдельным категориям граждан Российской Федерации" (далее - единовременная выплата).</w:t>
      </w:r>
    </w:p>
    <w:p>
      <w:pPr>
        <w:pStyle w:val="0"/>
        <w:spacing w:before="240" w:line-rule="auto"/>
        <w:ind w:firstLine="540"/>
        <w:jc w:val="both"/>
      </w:pPr>
      <w:r>
        <w:rPr>
          <w:sz w:val="24"/>
        </w:rPr>
        <w:t xml:space="preserve">2. Право на получение единовременной выплаты имеют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с 11 мая 2014 г. (далее - боевые действия) и признанные в установленном порядке инвалидами вследствие увечья (ранения, травмы, контузии) или заболевания, полученных ими в связи с участием в боевых действиях (далее - лица, признанные инвалидами).</w:t>
      </w:r>
    </w:p>
    <w:p>
      <w:pPr>
        <w:pStyle w:val="0"/>
        <w:spacing w:before="240" w:line-rule="auto"/>
        <w:ind w:firstLine="540"/>
        <w:jc w:val="both"/>
      </w:pPr>
      <w:r>
        <w:rPr>
          <w:sz w:val="24"/>
        </w:rPr>
        <w:t xml:space="preserve">3. Единовременная выплата производится Министерством обороны Российской Федерации, Министерством внутренних дел Российской Федерации и Федеральной службой безопасности Российской Федерации (далее - федеральный орган исполнительной власти, осуществляющий выплату) в зависимости от ведомственной принадлежности военно-врачебной комиссии, вынесшей заключение, предусмотренное </w:t>
      </w:r>
      <w:hyperlink w:history="0" w:anchor="P42" w:tooltip="в) заключение военно-врачебной комиссии о причинно-следственной связи между получением увечий (ранений, травм, контузий) или заболеваний лицами, признанными инвалидами и принимавшими в соответствии с решениями органов публич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
        <w:r>
          <w:rPr>
            <w:sz w:val="24"/>
            <w:color w:val="0000ff"/>
          </w:rPr>
          <w:t xml:space="preserve">подпунктом "в" пункта 6</w:t>
        </w:r>
      </w:hyperlink>
      <w:r>
        <w:rPr>
          <w:sz w:val="24"/>
        </w:rPr>
        <w:t xml:space="preserve"> настоящих Правил, в формулировке "увечье (ранение, травма, контузия), заболевание получено в связи с участием в соответствии с решениями органов публичной власти Донецкой Народной Республики, Луганской Народной Республики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 в отношении лица, признанного инвалидом, в соответствии с </w:t>
      </w:r>
      <w:hyperlink w:history="0" r:id="rId9" w:tooltip="Постановление Правительства РФ от 21.06.2024 N 835 &quot;Об особенностях определения причинно-следственной связи увечий (ранений, травм, контузий) или заболеваний, полученных отдельными категориями лиц, признанных инвалидами, для предоставления им мер социальной поддержки&quot; (вместе с &quot;Особенностями определения причинно-следственной связи между получением увечий (ранений, травм, контузий) или заболеваний лицами, признанными инвалидами и принимавшими в соответствии с решениями органов публичной власти Донецкой Наро {КонсультантПлюс}">
        <w:r>
          <w:rPr>
            <w:sz w:val="24"/>
            <w:color w:val="0000ff"/>
          </w:rPr>
          <w:t xml:space="preserve">постановлением</w:t>
        </w:r>
      </w:hyperlink>
      <w:r>
        <w:rPr>
          <w:sz w:val="24"/>
        </w:rPr>
        <w:t xml:space="preserve"> Правительства Российской Федерации от 21 июня 2024 г. N 835 "Об особенностях определения причинно-следственной связи увечий (ранений, травм, контузий) или заболеваний, полученных отдельными категориями лиц, признанных инвалидами, для предоставления им мер социальной поддержки".</w:t>
      </w:r>
    </w:p>
    <w:p>
      <w:pPr>
        <w:pStyle w:val="0"/>
        <w:spacing w:before="240" w:line-rule="auto"/>
        <w:ind w:firstLine="540"/>
        <w:jc w:val="both"/>
      </w:pPr>
      <w:r>
        <w:rPr>
          <w:sz w:val="24"/>
        </w:rPr>
        <w:t xml:space="preserve">4. Единовременная выплата лицу, признанному инвалидом, осуществляется путем ее перечисления на счет, открытый таким лицом в кредитной организации на территории Российской Федерации.</w:t>
      </w:r>
    </w:p>
    <w:p>
      <w:pPr>
        <w:pStyle w:val="0"/>
        <w:spacing w:before="240" w:line-rule="auto"/>
        <w:ind w:firstLine="540"/>
        <w:jc w:val="both"/>
      </w:pPr>
      <w:r>
        <w:rPr>
          <w:sz w:val="24"/>
        </w:rPr>
        <w:t xml:space="preserve">5. В целях реализации права на получение единовременной выплаты лицо, признанное инвалидом, лично обращается в военный комиссариат муниципального образования (муниципальных образований) (далее - военный комиссариат), территориальный орган Министерства внутренних дел Российской Федерации на региональном уровне или территориальный орган безопасности по месту жительства (пребывания) с заявлением в письменном виде по </w:t>
      </w:r>
      <w:hyperlink w:history="0" w:anchor="P121" w:tooltip="ЗАЯВЛЕНИЕ">
        <w:r>
          <w:rPr>
            <w:sz w:val="24"/>
            <w:color w:val="0000ff"/>
          </w:rPr>
          <w:t xml:space="preserve">форме</w:t>
        </w:r>
      </w:hyperlink>
      <w:r>
        <w:rPr>
          <w:sz w:val="24"/>
        </w:rPr>
        <w:t xml:space="preserve"> согласно приложению N 1 (далее - заявление).</w:t>
      </w:r>
    </w:p>
    <w:bookmarkStart w:id="39" w:name="P39"/>
    <w:bookmarkEnd w:id="39"/>
    <w:p>
      <w:pPr>
        <w:pStyle w:val="0"/>
        <w:spacing w:before="240" w:line-rule="auto"/>
        <w:ind w:firstLine="540"/>
        <w:jc w:val="both"/>
      </w:pPr>
      <w:r>
        <w:rPr>
          <w:sz w:val="24"/>
        </w:rPr>
        <w:t xml:space="preserve">6. Лицо, признанное инвалидом, вместе с </w:t>
      </w:r>
      <w:hyperlink w:history="0" w:anchor="P121" w:tooltip="ЗАЯВЛЕНИЕ">
        <w:r>
          <w:rPr>
            <w:sz w:val="24"/>
            <w:color w:val="0000ff"/>
          </w:rPr>
          <w:t xml:space="preserve">заявлением</w:t>
        </w:r>
      </w:hyperlink>
      <w:r>
        <w:rPr>
          <w:sz w:val="24"/>
        </w:rPr>
        <w:t xml:space="preserve"> представляет подлинники и копии следующих документов:</w:t>
      </w:r>
    </w:p>
    <w:p>
      <w:pPr>
        <w:pStyle w:val="0"/>
        <w:spacing w:before="240" w:line-rule="auto"/>
        <w:ind w:firstLine="540"/>
        <w:jc w:val="both"/>
      </w:pPr>
      <w:r>
        <w:rPr>
          <w:sz w:val="24"/>
        </w:rPr>
        <w:t xml:space="preserve">а) документ, удостоверяющий личность лица, признанного инвалидом;</w:t>
      </w:r>
    </w:p>
    <w:p>
      <w:pPr>
        <w:pStyle w:val="0"/>
        <w:spacing w:before="240" w:line-rule="auto"/>
        <w:ind w:firstLine="540"/>
        <w:jc w:val="both"/>
      </w:pPr>
      <w:r>
        <w:rPr>
          <w:sz w:val="24"/>
        </w:rPr>
        <w:t xml:space="preserve">б) справка федерального учреждения медико-социальной экспертизы, подтверждающая факт установления инвалидности;</w:t>
      </w:r>
    </w:p>
    <w:bookmarkStart w:id="42" w:name="P42"/>
    <w:bookmarkEnd w:id="42"/>
    <w:p>
      <w:pPr>
        <w:pStyle w:val="0"/>
        <w:spacing w:before="240" w:line-rule="auto"/>
        <w:ind w:firstLine="540"/>
        <w:jc w:val="both"/>
      </w:pPr>
      <w:r>
        <w:rPr>
          <w:sz w:val="24"/>
        </w:rPr>
        <w:t xml:space="preserve">в) заключение военно-врачебной комиссии о причинно-следственной связи между получением увечий (ранений, травм, контузий) или заболеваний лицами, признанными инвалидами и принимавшими в соответствии с решениями органов публичной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 и участием в боевых действиях;</w:t>
      </w:r>
    </w:p>
    <w:p>
      <w:pPr>
        <w:pStyle w:val="0"/>
        <w:spacing w:before="240" w:line-rule="auto"/>
        <w:ind w:firstLine="540"/>
        <w:jc w:val="both"/>
      </w:pPr>
      <w:r>
        <w:rPr>
          <w:sz w:val="24"/>
        </w:rPr>
        <w:t xml:space="preserve">г) военный билет с отметками о поступлении на военную службу и (или) об увольнении с военной службы либо удостоверение личности военнослужащего Российской Федерации.</w:t>
      </w:r>
    </w:p>
    <w:p>
      <w:pPr>
        <w:pStyle w:val="0"/>
        <w:spacing w:before="240" w:line-rule="auto"/>
        <w:ind w:firstLine="540"/>
        <w:jc w:val="both"/>
      </w:pPr>
      <w:r>
        <w:rPr>
          <w:sz w:val="24"/>
        </w:rPr>
        <w:t xml:space="preserve">7. Подлинники и копии документов, предусмотренные </w:t>
      </w:r>
      <w:hyperlink w:history="0" w:anchor="P39" w:tooltip="6. Лицо, признанное инвалидом, вместе с заявлением представляет подлинники и копии следующих документов:">
        <w:r>
          <w:rPr>
            <w:sz w:val="24"/>
            <w:color w:val="0000ff"/>
          </w:rPr>
          <w:t xml:space="preserve">пунктом 6</w:t>
        </w:r>
      </w:hyperlink>
      <w:r>
        <w:rPr>
          <w:sz w:val="24"/>
        </w:rPr>
        <w:t xml:space="preserve"> настоящих Правил, если они выполнены на иностранном языке, подлежат нотариально заверенному переводу на русский язык, оформленному в соответствии с законодательством Российской Федерации.</w:t>
      </w:r>
    </w:p>
    <w:bookmarkStart w:id="45" w:name="P45"/>
    <w:bookmarkEnd w:id="45"/>
    <w:p>
      <w:pPr>
        <w:pStyle w:val="0"/>
        <w:spacing w:before="240" w:line-rule="auto"/>
        <w:ind w:firstLine="540"/>
        <w:jc w:val="both"/>
      </w:pPr>
      <w:r>
        <w:rPr>
          <w:sz w:val="24"/>
        </w:rPr>
        <w:t xml:space="preserve">8. С </w:t>
      </w:r>
      <w:hyperlink w:history="0" w:anchor="P121" w:tooltip="ЗАЯВЛЕНИЕ">
        <w:r>
          <w:rPr>
            <w:sz w:val="24"/>
            <w:color w:val="0000ff"/>
          </w:rPr>
          <w:t xml:space="preserve">заявлением</w:t>
        </w:r>
      </w:hyperlink>
      <w:r>
        <w:rPr>
          <w:sz w:val="24"/>
        </w:rPr>
        <w:t xml:space="preserve"> и документами, указанными в </w:t>
      </w:r>
      <w:hyperlink w:history="0" w:anchor="P39" w:tooltip="6. Лицо, признанное инвалидом, вместе с заявлением представляет подлинники и копии следующих документов:">
        <w:r>
          <w:rPr>
            <w:sz w:val="24"/>
            <w:color w:val="0000ff"/>
          </w:rPr>
          <w:t xml:space="preserve">пункте 6</w:t>
        </w:r>
      </w:hyperlink>
      <w:r>
        <w:rPr>
          <w:sz w:val="24"/>
        </w:rPr>
        <w:t xml:space="preserve"> настоящих Правил, может лично обратиться представитель лица, признанного инвалидом, действующий на основании доверенности, оформленной в порядке, предусмотренном законодательством Российской Федерации (далее - представитель). В этом случае дополнительно с </w:t>
      </w:r>
      <w:hyperlink w:history="0" w:anchor="P121" w:tooltip="ЗАЯВЛЕНИЕ">
        <w:r>
          <w:rPr>
            <w:sz w:val="24"/>
            <w:color w:val="0000ff"/>
          </w:rPr>
          <w:t xml:space="preserve">заявлением</w:t>
        </w:r>
      </w:hyperlink>
      <w:r>
        <w:rPr>
          <w:sz w:val="24"/>
        </w:rPr>
        <w:t xml:space="preserve"> представляются подлинники и копии документа, удостоверяющего личность представителя, и документа, подтверждающего полномочия представителя лица, признанного инвалидом.</w:t>
      </w:r>
    </w:p>
    <w:p>
      <w:pPr>
        <w:pStyle w:val="0"/>
        <w:spacing w:before="240" w:line-rule="auto"/>
        <w:ind w:firstLine="540"/>
        <w:jc w:val="both"/>
      </w:pPr>
      <w:r>
        <w:rPr>
          <w:sz w:val="24"/>
        </w:rPr>
        <w:t xml:space="preserve">9. При приеме </w:t>
      </w:r>
      <w:hyperlink w:history="0" w:anchor="P121" w:tooltip="ЗАЯВЛЕНИЕ">
        <w:r>
          <w:rPr>
            <w:sz w:val="24"/>
            <w:color w:val="0000ff"/>
          </w:rPr>
          <w:t xml:space="preserve">заявления</w:t>
        </w:r>
      </w:hyperlink>
      <w:r>
        <w:rPr>
          <w:sz w:val="24"/>
        </w:rPr>
        <w:t xml:space="preserve"> подлинники документов, указанных в </w:t>
      </w:r>
      <w:hyperlink w:history="0" w:anchor="P39" w:tooltip="6. Лицо, признанное инвалидом, вместе с заявлением представляет подлинники и копии следующих документов:">
        <w:r>
          <w:rPr>
            <w:sz w:val="24"/>
            <w:color w:val="0000ff"/>
          </w:rPr>
          <w:t xml:space="preserve">пунктах 6</w:t>
        </w:r>
      </w:hyperlink>
      <w:r>
        <w:rPr>
          <w:sz w:val="24"/>
        </w:rPr>
        <w:t xml:space="preserve"> и </w:t>
      </w:r>
      <w:hyperlink w:history="0" w:anchor="P45" w:tooltip="8. С заявлением и документами, указанными в пункте 6 настоящих Правил, может лично обратиться представитель лица, признанного инвалидом, действующий на основании доверенности, оформленной в порядке, предусмотренном законодательством Российской Федерации (далее - представитель). В этом случае дополнительно с заявлением представляются подлинники и копии документа, удостоверяющего личность представителя, и документа, подтверждающего полномочия представителя лица, признанного инвалидом.">
        <w:r>
          <w:rPr>
            <w:sz w:val="24"/>
            <w:color w:val="0000ff"/>
          </w:rPr>
          <w:t xml:space="preserve">8</w:t>
        </w:r>
      </w:hyperlink>
      <w:r>
        <w:rPr>
          <w:sz w:val="24"/>
        </w:rPr>
        <w:t xml:space="preserve"> настоящих Правил, подлежат возврату лицу, признанному инвалидом (его представителю), а их копии приобщаются к </w:t>
      </w:r>
      <w:hyperlink w:history="0" w:anchor="P121" w:tooltip="ЗАЯВЛЕНИЕ">
        <w:r>
          <w:rPr>
            <w:sz w:val="24"/>
            <w:color w:val="0000ff"/>
          </w:rPr>
          <w:t xml:space="preserve">заявлению</w:t>
        </w:r>
      </w:hyperlink>
      <w:r>
        <w:rPr>
          <w:sz w:val="24"/>
        </w:rPr>
        <w:t xml:space="preserve">.</w:t>
      </w:r>
    </w:p>
    <w:p>
      <w:pPr>
        <w:pStyle w:val="0"/>
        <w:spacing w:before="240" w:line-rule="auto"/>
        <w:ind w:firstLine="540"/>
        <w:jc w:val="both"/>
      </w:pPr>
      <w:r>
        <w:rPr>
          <w:sz w:val="24"/>
        </w:rPr>
        <w:t xml:space="preserve">Копии документов заверяются подписью военного комиссара или соответствующего должностного лица территориального органа Министерства внутренних дел Российской Федерации на региональном уровне или территориального органа безопасности и печатью военного комиссариата, или территориального органа Министерства внутренних дел Российской Федерации на региональном уровне, или территориального органа безопасности.</w:t>
      </w:r>
    </w:p>
    <w:p>
      <w:pPr>
        <w:pStyle w:val="0"/>
        <w:spacing w:before="240" w:line-rule="auto"/>
        <w:ind w:firstLine="540"/>
        <w:jc w:val="both"/>
      </w:pPr>
      <w:hyperlink w:history="0" w:anchor="P121" w:tooltip="ЗАЯВЛЕНИЕ">
        <w:r>
          <w:rPr>
            <w:sz w:val="24"/>
            <w:color w:val="0000ff"/>
          </w:rPr>
          <w:t xml:space="preserve">Заявление</w:t>
        </w:r>
      </w:hyperlink>
      <w:r>
        <w:rPr>
          <w:sz w:val="24"/>
        </w:rPr>
        <w:t xml:space="preserve"> и приобщенные к нему документы подлежат регистрации в журнале регистрации заявлений. Факт и дата приема </w:t>
      </w:r>
      <w:hyperlink w:history="0" w:anchor="P121" w:tooltip="ЗАЯВЛЕНИЕ">
        <w:r>
          <w:rPr>
            <w:sz w:val="24"/>
            <w:color w:val="0000ff"/>
          </w:rPr>
          <w:t xml:space="preserve">заявления</w:t>
        </w:r>
      </w:hyperlink>
      <w:r>
        <w:rPr>
          <w:sz w:val="24"/>
        </w:rPr>
        <w:t xml:space="preserve"> подтверждаются распиской о приеме заявления и документов для назначения единовременной выплаты по </w:t>
      </w:r>
      <w:hyperlink w:history="0" w:anchor="P194" w:tooltip="РАСПИСКА">
        <w:r>
          <w:rPr>
            <w:sz w:val="24"/>
            <w:color w:val="0000ff"/>
          </w:rPr>
          <w:t xml:space="preserve">форме</w:t>
        </w:r>
      </w:hyperlink>
      <w:r>
        <w:rPr>
          <w:sz w:val="24"/>
        </w:rPr>
        <w:t xml:space="preserve"> согласно приложению N 2, выдаваемой должностным лицом военного комиссариата, или территориального органа Министерства внутренних дел Российской Федерации на региональном уровне, или территориального органа безопасности лицу, признанному инвалидом (его представителю).</w:t>
      </w:r>
    </w:p>
    <w:bookmarkStart w:id="49" w:name="P49"/>
    <w:bookmarkEnd w:id="49"/>
    <w:p>
      <w:pPr>
        <w:pStyle w:val="0"/>
        <w:spacing w:before="240" w:line-rule="auto"/>
        <w:ind w:firstLine="540"/>
        <w:jc w:val="both"/>
      </w:pPr>
      <w:r>
        <w:rPr>
          <w:sz w:val="24"/>
        </w:rPr>
        <w:t xml:space="preserve">10.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в течение 10 рабочих дней со дня регистрации заявления организуют проверку сведений, содержащихся в </w:t>
      </w:r>
      <w:hyperlink w:history="0" w:anchor="P121" w:tooltip="ЗАЯВЛЕНИЕ">
        <w:r>
          <w:rPr>
            <w:sz w:val="24"/>
            <w:color w:val="0000ff"/>
          </w:rPr>
          <w:t xml:space="preserve">заявлении</w:t>
        </w:r>
      </w:hyperlink>
      <w:r>
        <w:rPr>
          <w:sz w:val="24"/>
        </w:rPr>
        <w:t xml:space="preserve"> и представленных документах, по результатам которой принимают решение о наличии либо недостаточности оснований для назначения и осуществления единовременной выплаты.</w:t>
      </w:r>
    </w:p>
    <w:bookmarkStart w:id="50" w:name="P50"/>
    <w:bookmarkEnd w:id="50"/>
    <w:p>
      <w:pPr>
        <w:pStyle w:val="0"/>
        <w:spacing w:before="240" w:line-rule="auto"/>
        <w:ind w:firstLine="540"/>
        <w:jc w:val="both"/>
      </w:pPr>
      <w:r>
        <w:rPr>
          <w:sz w:val="24"/>
        </w:rPr>
        <w:t xml:space="preserve">В случаях недостаточности оснований для назначения и осуществления единовременной выплаты (обнаружения в </w:t>
      </w:r>
      <w:hyperlink w:history="0" w:anchor="P121" w:tooltip="ЗАЯВЛЕНИЕ">
        <w:r>
          <w:rPr>
            <w:sz w:val="24"/>
            <w:color w:val="0000ff"/>
          </w:rPr>
          <w:t xml:space="preserve">заявлении</w:t>
        </w:r>
      </w:hyperlink>
      <w:r>
        <w:rPr>
          <w:sz w:val="24"/>
        </w:rPr>
        <w:t xml:space="preserve"> ошибок и (или) выявления иных недостатков и неточностей)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в течение одного рабочего дня в письменной форме уведомляют лицо, признанное инвалидом (его представителя), о необходимости устранения выявленных недостатков.</w:t>
      </w:r>
    </w:p>
    <w:p>
      <w:pPr>
        <w:pStyle w:val="0"/>
        <w:spacing w:before="240" w:line-rule="auto"/>
        <w:ind w:firstLine="540"/>
        <w:jc w:val="both"/>
      </w:pPr>
      <w:r>
        <w:rPr>
          <w:sz w:val="24"/>
        </w:rPr>
        <w:t xml:space="preserve">11. Если лицом, признанным инвалидом (его представителем), в течение 20 рабочих дней со дня получения уведомления, указанного в </w:t>
      </w:r>
      <w:hyperlink w:history="0" w:anchor="P50" w:tooltip="В случаях недостаточности оснований для назначения и осуществления единовременной выплаты (обнаружения в заявлении ошибок и (или) выявления иных недостатков и неточностей)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в течение одного рабочего дня в письменной форме уведомляют лицо, признанное инвалидом (его представителя), о необходимости устранения выявленных недостатков.">
        <w:r>
          <w:rPr>
            <w:sz w:val="24"/>
            <w:color w:val="0000ff"/>
          </w:rPr>
          <w:t xml:space="preserve">абзаце втором пункта 10</w:t>
        </w:r>
      </w:hyperlink>
      <w:r>
        <w:rPr>
          <w:sz w:val="24"/>
        </w:rPr>
        <w:t xml:space="preserve"> настоящих Правил, не устранены выявленные недостатки, военный комиссар или руководитель (начальник) территориального органа Министерства внутренних дел Российской Федерации на региональном уровне или территориального органа безопасности принимают решение об отказе в назначении единовременной выплаты.</w:t>
      </w:r>
    </w:p>
    <w:p>
      <w:pPr>
        <w:pStyle w:val="0"/>
        <w:spacing w:before="240" w:line-rule="auto"/>
        <w:ind w:firstLine="540"/>
        <w:jc w:val="both"/>
      </w:pPr>
      <w:r>
        <w:rPr>
          <w:sz w:val="24"/>
        </w:rPr>
        <w:t xml:space="preserve">В случае принятия решения об отказе в назначении единовременной выплаты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в течение одного рабочего дня со дня принятия такого решения уведомляют об этом лицо, признанное инвалидом (его представителя), с указанием причин отказа. В этом случае лицо, признанное инвалидом, вправе повторно обратиться за назначением единовременной выплаты с соблюдением установленных настоящими Правилами требований.</w:t>
      </w:r>
    </w:p>
    <w:bookmarkStart w:id="53" w:name="P53"/>
    <w:bookmarkEnd w:id="53"/>
    <w:p>
      <w:pPr>
        <w:pStyle w:val="0"/>
        <w:spacing w:before="240" w:line-rule="auto"/>
        <w:ind w:firstLine="540"/>
        <w:jc w:val="both"/>
      </w:pPr>
      <w:r>
        <w:rPr>
          <w:sz w:val="24"/>
        </w:rPr>
        <w:t xml:space="preserve">12. При наличии оснований для назначения и осуществления единовременной выплаты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по результатам проверки либо после устранения выявленных недостатков, указанных в </w:t>
      </w:r>
      <w:hyperlink w:history="0" w:anchor="P49" w:tooltip="10.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в течение 10 рабочих дней со дня регистрации заявления организуют проверку сведений, содержащихся в заявлении и представленных документах, по результатам которой принимают решение о наличии либо недостаточности оснований для назначения и осуществления единовременной выплаты.">
        <w:r>
          <w:rPr>
            <w:sz w:val="24"/>
            <w:color w:val="0000ff"/>
          </w:rPr>
          <w:t xml:space="preserve">пункте 10</w:t>
        </w:r>
      </w:hyperlink>
      <w:r>
        <w:rPr>
          <w:sz w:val="24"/>
        </w:rPr>
        <w:t xml:space="preserve"> настоящих Правил, запрашивают:</w:t>
      </w:r>
    </w:p>
    <w:bookmarkStart w:id="54" w:name="P54"/>
    <w:bookmarkEnd w:id="54"/>
    <w:p>
      <w:pPr>
        <w:pStyle w:val="0"/>
        <w:spacing w:before="240" w:line-rule="auto"/>
        <w:ind w:firstLine="540"/>
        <w:jc w:val="both"/>
      </w:pPr>
      <w:r>
        <w:rPr>
          <w:sz w:val="24"/>
        </w:rPr>
        <w:t xml:space="preserve">а) у страховщика по обязательному государственному страхованию, осуществляющего (осуществлявшего) выплаты по договору обязательного государственного страхования, заключенному с федеральным органом исполнительной власти, осуществляющим выплату, в соответствии с Федеральным </w:t>
      </w:r>
      <w:hyperlink w:history="0" r:id="rId10" w:tooltip="Федеральный закон от 28.03.1998 N 52-ФЗ (ред. от 13.07.2024)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законом</w:t>
        </w:r>
      </w:hyperlink>
      <w:r>
        <w:rPr>
          <w:sz w:val="24"/>
        </w:rPr>
        <w:t xml:space="preserve">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 (далее - страховщик), сведения о произведенной лицу, признанному инвалидом, выплате страховой суммы, предусмотренной </w:t>
      </w:r>
      <w:hyperlink w:history="0" r:id="rId11" w:tooltip="Федеральный закон от 28.03.1998 N 52-ФЗ (ред. от 13.07.2024)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абзацами третьим</w:t>
        </w:r>
      </w:hyperlink>
      <w:r>
        <w:rPr>
          <w:sz w:val="24"/>
        </w:rPr>
        <w:t xml:space="preserve"> - </w:t>
      </w:r>
      <w:hyperlink w:history="0" r:id="rId12" w:tooltip="Федеральный закон от 28.03.1998 N 52-ФЗ (ред. от 13.07.2024)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седьмым пункта 2 статьи 5</w:t>
        </w:r>
      </w:hyperlink>
      <w:r>
        <w:rPr>
          <w:sz w:val="24"/>
        </w:rPr>
        <w:t xml:space="preserve"> указанного Федерального закона;</w:t>
      </w:r>
    </w:p>
    <w:p>
      <w:pPr>
        <w:pStyle w:val="0"/>
        <w:spacing w:before="240" w:line-rule="auto"/>
        <w:ind w:firstLine="540"/>
        <w:jc w:val="both"/>
      </w:pPr>
      <w:r>
        <w:rPr>
          <w:sz w:val="24"/>
        </w:rPr>
        <w:t xml:space="preserve">б) в Министерстве обороны Российской Федерации и Федеральной службе войск национальной гвардии Российской Федерации сведения о пребывании лица, признанного инвалидом, в добровольческом формировании, созданном в порядке, предусмотренном Федеральным </w:t>
      </w:r>
      <w:hyperlink w:history="0" r:id="rId13" w:tooltip="Федеральный закон от 31.05.1996 N 61-ФЗ (ред. от 26.12.2024) &quot;Об обороне&quot; {КонсультантПлюс}">
        <w:r>
          <w:rPr>
            <w:sz w:val="24"/>
            <w:color w:val="0000ff"/>
          </w:rPr>
          <w:t xml:space="preserve">законом</w:t>
        </w:r>
      </w:hyperlink>
      <w:r>
        <w:rPr>
          <w:sz w:val="24"/>
        </w:rPr>
        <w:t xml:space="preserve"> "Об обороне".</w:t>
      </w:r>
    </w:p>
    <w:bookmarkStart w:id="56" w:name="P56"/>
    <w:bookmarkEnd w:id="56"/>
    <w:p>
      <w:pPr>
        <w:pStyle w:val="0"/>
        <w:spacing w:before="240" w:line-rule="auto"/>
        <w:ind w:firstLine="540"/>
        <w:jc w:val="both"/>
      </w:pPr>
      <w:r>
        <w:rPr>
          <w:sz w:val="24"/>
        </w:rPr>
        <w:t xml:space="preserve">13. Кроме запросов, предусмотренных </w:t>
      </w:r>
      <w:hyperlink w:history="0" w:anchor="P53" w:tooltip="12. При наличии оснований для назначения и осуществления единовременной выплаты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по результатам проверки либо после устранения выявленных недостатков, указанных в пункте 10 настоящих Правил, запрашивают:">
        <w:r>
          <w:rPr>
            <w:sz w:val="24"/>
            <w:color w:val="0000ff"/>
          </w:rPr>
          <w:t xml:space="preserve">пунктом 12</w:t>
        </w:r>
      </w:hyperlink>
      <w:r>
        <w:rPr>
          <w:sz w:val="24"/>
        </w:rPr>
        <w:t xml:space="preserve"> настоящих Правил, военный комиссариат запрашивает у страховщика, а территориальный орган безопасности - у финансово-экономического управления Службы обеспечения деятельности Федеральной службы безопасности Российской Федерации сведения о произведенной лицу, признанному инвалидом, выплате единовременного пособия, предусмотренного </w:t>
      </w:r>
      <w:hyperlink w:history="0" r:id="rId14"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12 статьи 3</w:t>
        </w:r>
      </w:hyperlink>
      <w:r>
        <w:rPr>
          <w:sz w:val="24"/>
        </w:rPr>
        <w:t xml:space="preserve"> Федерального закона "О денежном довольствии военнослужащих и предоставлении им отдельных выплат".</w:t>
      </w:r>
    </w:p>
    <w:p>
      <w:pPr>
        <w:pStyle w:val="0"/>
        <w:spacing w:before="240" w:line-rule="auto"/>
        <w:ind w:firstLine="540"/>
        <w:jc w:val="both"/>
      </w:pPr>
      <w:r>
        <w:rPr>
          <w:sz w:val="24"/>
        </w:rPr>
        <w:t xml:space="preserve">14. Запросы, предусмотренные </w:t>
      </w:r>
      <w:hyperlink w:history="0" w:anchor="P53" w:tooltip="12. При наличии оснований для назначения и осуществления единовременной выплаты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по результатам проверки либо после устранения выявленных недостатков, указанных в пункте 10 настоящих Правил, запрашивают:">
        <w:r>
          <w:rPr>
            <w:sz w:val="24"/>
            <w:color w:val="0000ff"/>
          </w:rPr>
          <w:t xml:space="preserve">пунктами 12</w:t>
        </w:r>
      </w:hyperlink>
      <w:r>
        <w:rPr>
          <w:sz w:val="24"/>
        </w:rPr>
        <w:t xml:space="preserve"> и </w:t>
      </w:r>
      <w:hyperlink w:history="0" w:anchor="P56" w:tooltip="13. Кроме запросов, предусмотренных пунктом 12 настоящих Правил, военный комиссариат запрашивает у страховщика, а территориальный орган безопасности - у финансово-экономического управления Службы обеспечения деятельности Федеральной службы безопасности Российской Федерации сведения о произведенной лицу, признанному инвалидом, выплате единовременного пособия, предусмотренного частью 12 статьи 3 Федерального закона &quot;О денежном довольствии военнослужащих и предоставлении им отдельных выплат&quot;.">
        <w:r>
          <w:rPr>
            <w:sz w:val="24"/>
            <w:color w:val="0000ff"/>
          </w:rPr>
          <w:t xml:space="preserve">13</w:t>
        </w:r>
      </w:hyperlink>
      <w:r>
        <w:rPr>
          <w:sz w:val="24"/>
        </w:rPr>
        <w:t xml:space="preserve"> настоящих Правил, направляются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При отсутствии доступа к единой системе межведомственного электронного взаимодействия и подключаемым к ней региональным системам межведомственного электронного взаимодействия - на бумажном носителе с соблюдением требований законодательства Российской Федерации о персональных данных.</w:t>
      </w:r>
    </w:p>
    <w:p>
      <w:pPr>
        <w:pStyle w:val="0"/>
        <w:spacing w:before="240" w:line-rule="auto"/>
        <w:ind w:firstLine="540"/>
        <w:jc w:val="both"/>
      </w:pPr>
      <w:r>
        <w:rPr>
          <w:sz w:val="24"/>
        </w:rPr>
        <w:t xml:space="preserve">15. Сведения, указанные в </w:t>
      </w:r>
      <w:hyperlink w:history="0" w:anchor="P53" w:tooltip="12. При наличии оснований для назначения и осуществления единовременной выплаты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по результатам проверки либо после устранения выявленных недостатков, указанных в пункте 10 настоящих Правил, запрашивают:">
        <w:r>
          <w:rPr>
            <w:sz w:val="24"/>
            <w:color w:val="0000ff"/>
          </w:rPr>
          <w:t xml:space="preserve">пунктах 12</w:t>
        </w:r>
      </w:hyperlink>
      <w:r>
        <w:rPr>
          <w:sz w:val="24"/>
        </w:rPr>
        <w:t xml:space="preserve"> и </w:t>
      </w:r>
      <w:hyperlink w:history="0" w:anchor="P56" w:tooltip="13. Кроме запросов, предусмотренных пунктом 12 настоящих Правил, военный комиссариат запрашивает у страховщика, а территориальный орган безопасности - у финансово-экономического управления Службы обеспечения деятельности Федеральной службы безопасности Российской Федерации сведения о произведенной лицу, признанному инвалидом, выплате единовременного пособия, предусмотренного частью 12 статьи 3 Федерального закона &quot;О денежном довольствии военнослужащих и предоставлении им отдельных выплат&quot;.">
        <w:r>
          <w:rPr>
            <w:sz w:val="24"/>
            <w:color w:val="0000ff"/>
          </w:rPr>
          <w:t xml:space="preserve">13</w:t>
        </w:r>
      </w:hyperlink>
      <w:r>
        <w:rPr>
          <w:sz w:val="24"/>
        </w:rPr>
        <w:t xml:space="preserve"> настоящих Правил, предоставляются страховщиком, Министерством обороны Российской Федерации, Федеральной службой войск национальной гвардии Российской Федерации и финансово-экономическим управлением Службы обеспечения деятельности Федеральной службы безопасности Российской Федерации в течение 5 рабочих дней со дня получения соответствующего запроса.</w:t>
      </w:r>
    </w:p>
    <w:p>
      <w:pPr>
        <w:pStyle w:val="0"/>
        <w:spacing w:before="240" w:line-rule="auto"/>
        <w:ind w:firstLine="540"/>
        <w:jc w:val="both"/>
      </w:pPr>
      <w:r>
        <w:rPr>
          <w:sz w:val="24"/>
        </w:rPr>
        <w:t xml:space="preserve">16. В случае отсутствия необходимости получения сведений от страховщика по произведенной выплате страховой суммы, предусмотренной </w:t>
      </w:r>
      <w:hyperlink w:history="0" r:id="rId15" w:tooltip="Федеральный закон от 28.03.1998 N 52-ФЗ (ред. от 13.07.2024)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абзацами третьим</w:t>
        </w:r>
      </w:hyperlink>
      <w:r>
        <w:rPr>
          <w:sz w:val="24"/>
        </w:rPr>
        <w:t xml:space="preserve"> - </w:t>
      </w:r>
      <w:hyperlink w:history="0" r:id="rId16" w:tooltip="Федеральный закон от 28.03.1998 N 52-ФЗ (ред. от 13.07.2024)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седьмым пункта 2 статьи 5</w:t>
        </w:r>
      </w:hyperlink>
      <w:r>
        <w:rPr>
          <w:sz w:val="24"/>
        </w:rPr>
        <w:t xml:space="preserve"> Федерального закона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 ввиду наличия указанных сведений в военном комиссариате, или территориальном органе Министерства внутренних дел Российской Федерации на региональном уровне, или территориальном органе безопасности запрос, предусмотренный </w:t>
      </w:r>
      <w:hyperlink w:history="0" w:anchor="P54" w:tooltip="а) у страховщика по обязательному государственному страхованию, осуществляющего (осуществлявшего) выплаты по договору обязательного государственного страхования, заключенному с федеральным органом исполнительной власти, осуществляющим выплату, в соответствии с Федеральным законом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
        <w:r>
          <w:rPr>
            <w:sz w:val="24"/>
            <w:color w:val="0000ff"/>
          </w:rPr>
          <w:t xml:space="preserve">подпунктом "а" пункта 12</w:t>
        </w:r>
      </w:hyperlink>
      <w:r>
        <w:rPr>
          <w:sz w:val="24"/>
        </w:rPr>
        <w:t xml:space="preserve"> настоящих Правил, не направляется.</w:t>
      </w:r>
    </w:p>
    <w:p>
      <w:pPr>
        <w:pStyle w:val="0"/>
        <w:spacing w:before="240" w:line-rule="auto"/>
        <w:ind w:firstLine="540"/>
        <w:jc w:val="both"/>
      </w:pPr>
      <w:r>
        <w:rPr>
          <w:sz w:val="24"/>
        </w:rPr>
        <w:t xml:space="preserve">17. Проверку сведений о произведенной выплате единовременного пособия, предусмотренного </w:t>
      </w:r>
      <w:hyperlink w:history="0" r:id="rId17" w:tooltip="Федеральный закон от 07.02.2011 N 3-ФЗ (ред. от 28.12.2024) &quot;О полиции&quot; (с изм. и доп., вступ. в силу с 01.03.2025) {КонсультантПлюс}">
        <w:r>
          <w:rPr>
            <w:sz w:val="24"/>
            <w:color w:val="0000ff"/>
          </w:rPr>
          <w:t xml:space="preserve">частью 5 статьи 43</w:t>
        </w:r>
      </w:hyperlink>
      <w:r>
        <w:rPr>
          <w:sz w:val="24"/>
        </w:rPr>
        <w:t xml:space="preserve"> Федерального закона "О полиции", либо единовременного пособия, предусмотренного </w:t>
      </w:r>
      <w:hyperlink w:history="0" r:id="rId18"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12 статьи 3</w:t>
        </w:r>
      </w:hyperlink>
      <w:r>
        <w:rPr>
          <w:sz w:val="24"/>
        </w:rPr>
        <w:t xml:space="preserve"> Федерального закона "О денежном довольствии военнослужащих и предоставлении им отдельных выплат", либо единовременного пособия, предусмотренного </w:t>
      </w:r>
      <w:hyperlink w:history="0" r:id="rId19" w:tooltip="Федеральный закон от 30.12.2012 N 283-ФЗ (ред. от 28.0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частью 4 статьи 12</w:t>
        </w:r>
      </w:hyperlink>
      <w:r>
        <w:rPr>
          <w:sz w:val="24"/>
        </w:rPr>
        <w:t xml:space="preserve"> Федерального закона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осуществляет территориальный орган Министерства внутренних дел Российской Федерации на региональном уровне или территориальный орган безопасности.</w:t>
      </w:r>
    </w:p>
    <w:p>
      <w:pPr>
        <w:pStyle w:val="0"/>
        <w:spacing w:before="240" w:line-rule="auto"/>
        <w:ind w:firstLine="540"/>
        <w:jc w:val="both"/>
      </w:pPr>
      <w:r>
        <w:rPr>
          <w:sz w:val="24"/>
        </w:rPr>
        <w:t xml:space="preserve">18. Военный комиссар или руководитель (начальник) территориального органа Министерства внутренних дел Российской Федерации на региональном уровне или территориального органа безопасности в течение 10 рабочих дней со дня поступления последнего ответа на запросы, предусмотренные </w:t>
      </w:r>
      <w:hyperlink w:history="0" w:anchor="P53" w:tooltip="12. При наличии оснований для назначения и осуществления единовременной выплаты военный комиссариат, или территориальный орган Министерства внутренних дел Российской Федерации на региональном уровне, или территориальный орган безопасности по результатам проверки либо после устранения выявленных недостатков, указанных в пункте 10 настоящих Правил, запрашивают:">
        <w:r>
          <w:rPr>
            <w:sz w:val="24"/>
            <w:color w:val="0000ff"/>
          </w:rPr>
          <w:t xml:space="preserve">пунктами 12</w:t>
        </w:r>
      </w:hyperlink>
      <w:r>
        <w:rPr>
          <w:sz w:val="24"/>
        </w:rPr>
        <w:t xml:space="preserve"> и </w:t>
      </w:r>
      <w:hyperlink w:history="0" w:anchor="P56" w:tooltip="13. Кроме запросов, предусмотренных пунктом 12 настоящих Правил, военный комиссариат запрашивает у страховщика, а территориальный орган безопасности - у финансово-экономического управления Службы обеспечения деятельности Федеральной службы безопасности Российской Федерации сведения о произведенной лицу, признанному инвалидом, выплате единовременного пособия, предусмотренного частью 12 статьи 3 Федерального закона &quot;О денежном довольствии военнослужащих и предоставлении им отдельных выплат&quot;.">
        <w:r>
          <w:rPr>
            <w:sz w:val="24"/>
            <w:color w:val="0000ff"/>
          </w:rPr>
          <w:t xml:space="preserve">13</w:t>
        </w:r>
      </w:hyperlink>
      <w:r>
        <w:rPr>
          <w:sz w:val="24"/>
        </w:rPr>
        <w:t xml:space="preserve"> настоящих Правил, принимают решение о назначении и об осуществлении единовременной выплаты, размер которой определяется с учетом требований </w:t>
      </w:r>
      <w:hyperlink w:history="0" r:id="rId20" w:tooltip="Указ Президента РФ от 10.03.2025 N 137 &quot;О дополнительных социальных гарантиях отдельным категориям граждан Российской Федерации&quot; {КонсультантПлюс}">
        <w:r>
          <w:rPr>
            <w:sz w:val="24"/>
            <w:color w:val="0000ff"/>
          </w:rPr>
          <w:t xml:space="preserve">пунктов 3</w:t>
        </w:r>
      </w:hyperlink>
      <w:r>
        <w:rPr>
          <w:sz w:val="24"/>
        </w:rPr>
        <w:t xml:space="preserve"> и </w:t>
      </w:r>
      <w:hyperlink w:history="0" r:id="rId21" w:tooltip="Указ Президента РФ от 10.03.2025 N 137 &quot;О дополнительных социальных гарантиях отдельным категориям граждан Российской Федерации&quot; {КонсультантПлюс}">
        <w:r>
          <w:rPr>
            <w:sz w:val="24"/>
            <w:color w:val="0000ff"/>
          </w:rPr>
          <w:t xml:space="preserve">4</w:t>
        </w:r>
      </w:hyperlink>
      <w:r>
        <w:rPr>
          <w:sz w:val="24"/>
        </w:rPr>
        <w:t xml:space="preserve"> Указа Президента Российской Федерации от 10 марта 2025 г. N 137 "О дополнительных социальных гарантиях отдельным категориям граждан Российской Федерации".</w:t>
      </w:r>
    </w:p>
    <w:p>
      <w:pPr>
        <w:pStyle w:val="0"/>
        <w:spacing w:before="240" w:line-rule="auto"/>
        <w:ind w:firstLine="540"/>
        <w:jc w:val="both"/>
      </w:pPr>
      <w:r>
        <w:rPr>
          <w:sz w:val="24"/>
        </w:rPr>
        <w:t xml:space="preserve">Решение о назначении и об осуществлении единовременной выплаты оформляется приказом военного комиссара или руководителя (начальника) территориального органа Министерства внутренних дел Российской Федерации на региональном уровне или территориального органа безопасности, выписка из которого в течение 3 рабочих дней направляется в соответствующее финансовое подразделение федерального органа исполнительной власти, осуществляющего выплату.</w:t>
      </w:r>
    </w:p>
    <w:p>
      <w:pPr>
        <w:pStyle w:val="0"/>
        <w:spacing w:before="240" w:line-rule="auto"/>
        <w:ind w:firstLine="540"/>
        <w:jc w:val="both"/>
      </w:pPr>
      <w:r>
        <w:rPr>
          <w:sz w:val="24"/>
        </w:rPr>
        <w:t xml:space="preserve">19. В приказе военного комиссара или руководителя (начальника) территориального органа Министерства внутренних дел Российской Федерации на региональном уровне или территориального органа безопасности об осуществлении единовременной выплаты указываются фамилия, имя, отчество (при наличии) лица, признанного инвалидом, наименование единовременной выплаты, ее размер, реквизиты счета, открытого в кредитной организации на территории Российской Федерации, для перечисления единовременной выплаты лицу, признанному инвалидом.</w:t>
      </w:r>
    </w:p>
    <w:p>
      <w:pPr>
        <w:pStyle w:val="0"/>
        <w:spacing w:before="240" w:line-rule="auto"/>
        <w:ind w:firstLine="540"/>
        <w:jc w:val="both"/>
      </w:pPr>
      <w:r>
        <w:rPr>
          <w:sz w:val="24"/>
        </w:rPr>
        <w:t xml:space="preserve">20. Единовременная выплата производится соответствующим финансовым подразделением федерального органа исполнительной власти, осуществляющего выплату, в течение 10 рабочих дней со дня получения выписки из приказа военного комиссара или руководителя (начальника) территориального органа Министерства внутренних дел Российской Федерации на региональном уровне или территориального органа безопасности о назначении и об осуществлении единовременной выплаты.</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t xml:space="preserve">к Правилам назначения и осуществления</w:t>
      </w:r>
    </w:p>
    <w:p>
      <w:pPr>
        <w:pStyle w:val="0"/>
        <w:jc w:val="right"/>
      </w:pPr>
      <w:r>
        <w:rPr>
          <w:sz w:val="24"/>
        </w:rPr>
        <w:t xml:space="preserve">единовременной выплаты, установленной</w:t>
      </w:r>
    </w:p>
    <w:p>
      <w:pPr>
        <w:pStyle w:val="0"/>
        <w:jc w:val="right"/>
      </w:pPr>
      <w:r>
        <w:rPr>
          <w:sz w:val="24"/>
        </w:rPr>
        <w:t xml:space="preserve">Указом Президента Российской Федерации</w:t>
      </w:r>
    </w:p>
    <w:p>
      <w:pPr>
        <w:pStyle w:val="0"/>
        <w:jc w:val="right"/>
      </w:pPr>
      <w:r>
        <w:rPr>
          <w:sz w:val="24"/>
        </w:rPr>
        <w:t xml:space="preserve">от 10 марта 2025 г. N 137</w:t>
      </w:r>
    </w:p>
    <w:p>
      <w:pPr>
        <w:pStyle w:val="0"/>
        <w:jc w:val="right"/>
      </w:pPr>
      <w:r>
        <w:rPr>
          <w:sz w:val="24"/>
        </w:rPr>
        <w:t xml:space="preserve">"О дополнительных социальных гарантиях</w:t>
      </w:r>
    </w:p>
    <w:p>
      <w:pPr>
        <w:pStyle w:val="0"/>
        <w:jc w:val="right"/>
      </w:pPr>
      <w:r>
        <w:rPr>
          <w:sz w:val="24"/>
        </w:rPr>
        <w:t xml:space="preserve">отдельным категориям граждан</w:t>
      </w:r>
    </w:p>
    <w:p>
      <w:pPr>
        <w:pStyle w:val="0"/>
        <w:jc w:val="right"/>
      </w:pPr>
      <w:r>
        <w:rPr>
          <w:sz w:val="24"/>
        </w:rPr>
        <w:t xml:space="preserve">Российской Федерации"</w:t>
      </w:r>
    </w:p>
    <w:p>
      <w:pPr>
        <w:pStyle w:val="0"/>
        <w:jc w:val="right"/>
      </w:pPr>
      <w:r>
        <w:rPr>
          <w:sz w:val="24"/>
        </w:rPr>
      </w:r>
    </w:p>
    <w:p>
      <w:pPr>
        <w:pStyle w:val="0"/>
        <w:jc w:val="right"/>
      </w:pPr>
      <w:r>
        <w:rPr>
          <w:sz w:val="24"/>
        </w:rPr>
        <w:t xml:space="preserve">(форма)</w:t>
      </w:r>
    </w:p>
    <w:p>
      <w:pPr>
        <w:pStyle w:val="0"/>
      </w:pPr>
      <w:r>
        <w:rPr>
          <w:sz w:val="24"/>
        </w:rPr>
      </w:r>
    </w:p>
    <w:tbl>
      <w:tblPr>
        <w:tblInd w:w="0" w:type="dxa"/>
        <w:tblLayout w:type="fixed"/>
        <w:tblCellMar>
          <w:top w:w="102" w:type="dxa"/>
          <w:left w:w="62" w:type="dxa"/>
          <w:bottom w:w="102" w:type="dxa"/>
          <w:right w:w="62" w:type="dxa"/>
        </w:tblCellMar>
      </w:tblPr>
      <w:tblGrid>
        <w:gridCol w:w="2940"/>
        <w:gridCol w:w="465"/>
        <w:gridCol w:w="330"/>
        <w:gridCol w:w="1620"/>
        <w:gridCol w:w="3367"/>
        <w:gridCol w:w="340"/>
      </w:tblGrid>
      <w:tr>
        <w:tc>
          <w:tcPr>
            <w:tcW w:w="2940" w:type="dxa"/>
            <w:tcBorders>
              <w:top w:val="nil"/>
              <w:left w:val="nil"/>
              <w:bottom w:val="nil"/>
              <w:right w:val="nil"/>
            </w:tcBorders>
          </w:tcPr>
          <w:p>
            <w:pPr>
              <w:pStyle w:val="0"/>
            </w:pPr>
            <w:r>
              <w:rPr>
                <w:sz w:val="24"/>
              </w:rPr>
            </w:r>
          </w:p>
        </w:tc>
        <w:tc>
          <w:tcPr>
            <w:gridSpan w:val="5"/>
            <w:tcW w:w="6122" w:type="dxa"/>
            <w:tcBorders>
              <w:top w:val="nil"/>
              <w:left w:val="nil"/>
              <w:bottom w:val="nil"/>
              <w:right w:val="nil"/>
            </w:tcBorders>
          </w:tcPr>
          <w:p>
            <w:pPr>
              <w:pStyle w:val="0"/>
              <w:jc w:val="center"/>
            </w:pPr>
            <w:r>
              <w:rPr>
                <w:sz w:val="24"/>
              </w:rPr>
              <w:t xml:space="preserve">Военному комиссару</w:t>
            </w:r>
          </w:p>
          <w:p>
            <w:pPr>
              <w:pStyle w:val="0"/>
              <w:jc w:val="center"/>
            </w:pPr>
            <w:r>
              <w:rPr>
                <w:sz w:val="24"/>
              </w:rPr>
              <w:t xml:space="preserve">(руководителю, начальнику)</w:t>
            </w:r>
          </w:p>
        </w:tc>
      </w:tr>
      <w:tr>
        <w:tc>
          <w:tcPr>
            <w:tcW w:w="2940" w:type="dxa"/>
            <w:tcBorders>
              <w:top w:val="nil"/>
              <w:left w:val="nil"/>
              <w:bottom w:val="nil"/>
              <w:right w:val="nil"/>
            </w:tcBorders>
          </w:tcPr>
          <w:p>
            <w:pPr>
              <w:pStyle w:val="0"/>
            </w:pPr>
            <w:r>
              <w:rPr>
                <w:sz w:val="24"/>
              </w:rPr>
            </w:r>
          </w:p>
        </w:tc>
        <w:tc>
          <w:tcPr>
            <w:gridSpan w:val="5"/>
            <w:tcW w:w="6122" w:type="dxa"/>
            <w:tcBorders>
              <w:top w:val="nil"/>
              <w:left w:val="nil"/>
              <w:bottom w:val="single" w:sz="4"/>
              <w:right w:val="nil"/>
            </w:tcBorders>
          </w:tcPr>
          <w:p>
            <w:pPr>
              <w:pStyle w:val="0"/>
            </w:pPr>
            <w:r>
              <w:rPr>
                <w:sz w:val="24"/>
              </w:rPr>
            </w:r>
          </w:p>
        </w:tc>
      </w:tr>
      <w:tr>
        <w:tc>
          <w:tcPr>
            <w:tcW w:w="2940" w:type="dxa"/>
            <w:tcBorders>
              <w:top w:val="nil"/>
              <w:left w:val="nil"/>
              <w:bottom w:val="nil"/>
              <w:right w:val="nil"/>
            </w:tcBorders>
          </w:tcPr>
          <w:p>
            <w:pPr>
              <w:pStyle w:val="0"/>
            </w:pPr>
            <w:r>
              <w:rPr>
                <w:sz w:val="24"/>
              </w:rPr>
            </w:r>
          </w:p>
        </w:tc>
        <w:tc>
          <w:tcPr>
            <w:gridSpan w:val="5"/>
            <w:tcW w:w="6122" w:type="dxa"/>
            <w:tcBorders>
              <w:top w:val="single" w:sz="4"/>
              <w:left w:val="nil"/>
              <w:bottom w:val="single" w:sz="4"/>
              <w:right w:val="nil"/>
            </w:tcBorders>
          </w:tcPr>
          <w:p>
            <w:pPr>
              <w:pStyle w:val="0"/>
            </w:pPr>
            <w:r>
              <w:rPr>
                <w:sz w:val="24"/>
              </w:rPr>
            </w:r>
          </w:p>
        </w:tc>
      </w:tr>
      <w:tr>
        <w:tc>
          <w:tcPr>
            <w:tcW w:w="2940" w:type="dxa"/>
            <w:tcBorders>
              <w:top w:val="nil"/>
              <w:left w:val="nil"/>
              <w:bottom w:val="nil"/>
              <w:right w:val="nil"/>
            </w:tcBorders>
          </w:tcPr>
          <w:p>
            <w:pPr>
              <w:pStyle w:val="0"/>
            </w:pPr>
            <w:r>
              <w:rPr>
                <w:sz w:val="24"/>
              </w:rPr>
            </w:r>
          </w:p>
        </w:tc>
        <w:tc>
          <w:tcPr>
            <w:gridSpan w:val="5"/>
            <w:tcW w:w="6122" w:type="dxa"/>
            <w:tcBorders>
              <w:top w:val="single" w:sz="4"/>
              <w:left w:val="nil"/>
              <w:bottom w:val="nil"/>
              <w:right w:val="nil"/>
            </w:tcBorders>
          </w:tcPr>
          <w:p>
            <w:pPr>
              <w:pStyle w:val="0"/>
              <w:jc w:val="center"/>
            </w:pPr>
            <w:r>
              <w:rPr>
                <w:sz w:val="24"/>
              </w:rPr>
              <w:t xml:space="preserve">(наименование военного комиссариата муниципального образования (муниципальных образований), территориального органа Министерства внутренних дел Российской Федерации на региональном уровне или территориального органа безопасности)</w:t>
            </w:r>
          </w:p>
        </w:tc>
      </w:tr>
      <w:tr>
        <w:tc>
          <w:tcPr>
            <w:tcW w:w="2940" w:type="dxa"/>
            <w:tcBorders>
              <w:top w:val="nil"/>
              <w:left w:val="nil"/>
              <w:bottom w:val="nil"/>
              <w:right w:val="nil"/>
            </w:tcBorders>
          </w:tcPr>
          <w:p>
            <w:pPr>
              <w:pStyle w:val="0"/>
            </w:pPr>
            <w:r>
              <w:rPr>
                <w:sz w:val="24"/>
              </w:rPr>
            </w:r>
          </w:p>
        </w:tc>
        <w:tc>
          <w:tcPr>
            <w:tcW w:w="465" w:type="dxa"/>
            <w:vAlign w:val="bottom"/>
            <w:tcBorders>
              <w:top w:val="nil"/>
              <w:left w:val="nil"/>
              <w:bottom w:val="nil"/>
              <w:right w:val="nil"/>
            </w:tcBorders>
          </w:tcPr>
          <w:p>
            <w:pPr>
              <w:pStyle w:val="0"/>
            </w:pPr>
            <w:r>
              <w:rPr>
                <w:sz w:val="24"/>
              </w:rPr>
              <w:t xml:space="preserve">от</w:t>
            </w:r>
          </w:p>
        </w:tc>
        <w:tc>
          <w:tcPr>
            <w:gridSpan w:val="3"/>
            <w:tcW w:w="5317" w:type="dxa"/>
            <w:tcBorders>
              <w:top w:val="nil"/>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2940" w:type="dxa"/>
            <w:tcBorders>
              <w:top w:val="nil"/>
              <w:left w:val="nil"/>
              <w:bottom w:val="nil"/>
              <w:right w:val="nil"/>
            </w:tcBorders>
          </w:tcPr>
          <w:p>
            <w:pPr>
              <w:pStyle w:val="0"/>
            </w:pPr>
            <w:r>
              <w:rPr>
                <w:sz w:val="24"/>
              </w:rPr>
            </w:r>
          </w:p>
        </w:tc>
        <w:tc>
          <w:tcPr>
            <w:tcW w:w="465" w:type="dxa"/>
            <w:tcBorders>
              <w:top w:val="nil"/>
              <w:left w:val="nil"/>
              <w:bottom w:val="nil"/>
              <w:right w:val="nil"/>
            </w:tcBorders>
          </w:tcPr>
          <w:p>
            <w:pPr>
              <w:pStyle w:val="0"/>
              <w:jc w:val="center"/>
            </w:pPr>
            <w:r>
              <w:rPr>
                <w:sz w:val="24"/>
              </w:rPr>
            </w:r>
          </w:p>
        </w:tc>
        <w:tc>
          <w:tcPr>
            <w:gridSpan w:val="3"/>
            <w:tcW w:w="5317" w:type="dxa"/>
            <w:tcBorders>
              <w:top w:val="single" w:sz="4"/>
              <w:left w:val="nil"/>
              <w:bottom w:val="nil"/>
              <w:right w:val="nil"/>
            </w:tcBorders>
          </w:tcPr>
          <w:p>
            <w:pPr>
              <w:pStyle w:val="0"/>
              <w:jc w:val="center"/>
            </w:pPr>
            <w:r>
              <w:rPr>
                <w:sz w:val="24"/>
              </w:rPr>
              <w:t xml:space="preserve">(фамилия, имя, отчество (при наличии) лица, принимавшего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с 11 мая 2014 г. и признанного в установленном порядке инвалидом вследствие увечья (ранения, травмы, контузии) или заболевания, полученных им в связи с участием в этих боевых действиях) (далее - лицо, признанное инвалидом)</w:t>
            </w:r>
          </w:p>
        </w:tc>
        <w:tc>
          <w:tcPr>
            <w:tcW w:w="340" w:type="dxa"/>
            <w:tcBorders>
              <w:top w:val="nil"/>
              <w:left w:val="nil"/>
              <w:bottom w:val="nil"/>
              <w:right w:val="nil"/>
            </w:tcBorders>
          </w:tcPr>
          <w:p>
            <w:pPr>
              <w:pStyle w:val="0"/>
              <w:jc w:val="both"/>
            </w:pPr>
            <w:r>
              <w:rPr>
                <w:sz w:val="24"/>
              </w:rPr>
            </w:r>
          </w:p>
        </w:tc>
      </w:tr>
      <w:tr>
        <w:tc>
          <w:tcPr>
            <w:tcW w:w="2940" w:type="dxa"/>
            <w:tcBorders>
              <w:top w:val="nil"/>
              <w:left w:val="nil"/>
              <w:bottom w:val="nil"/>
              <w:right w:val="nil"/>
            </w:tcBorders>
          </w:tcPr>
          <w:p>
            <w:pPr>
              <w:pStyle w:val="0"/>
            </w:pPr>
            <w:r>
              <w:rPr>
                <w:sz w:val="24"/>
              </w:rPr>
            </w:r>
          </w:p>
        </w:tc>
        <w:tc>
          <w:tcPr>
            <w:gridSpan w:val="5"/>
            <w:tcW w:w="6122" w:type="dxa"/>
            <w:tcBorders>
              <w:top w:val="nil"/>
              <w:left w:val="nil"/>
              <w:bottom w:val="nil"/>
              <w:right w:val="nil"/>
            </w:tcBorders>
          </w:tcPr>
          <w:p>
            <w:pPr>
              <w:pStyle w:val="0"/>
            </w:pPr>
            <w:r>
              <w:rPr>
                <w:sz w:val="24"/>
              </w:rPr>
              <w:t xml:space="preserve">проживающего по адресу:</w:t>
            </w:r>
          </w:p>
        </w:tc>
      </w:tr>
      <w:tr>
        <w:tc>
          <w:tcPr>
            <w:tcW w:w="2940" w:type="dxa"/>
            <w:tcBorders>
              <w:top w:val="nil"/>
              <w:left w:val="nil"/>
              <w:bottom w:val="nil"/>
              <w:right w:val="nil"/>
            </w:tcBorders>
          </w:tcPr>
          <w:p>
            <w:pPr>
              <w:pStyle w:val="0"/>
            </w:pPr>
            <w:r>
              <w:rPr>
                <w:sz w:val="24"/>
              </w:rPr>
            </w:r>
          </w:p>
        </w:tc>
        <w:tc>
          <w:tcPr>
            <w:gridSpan w:val="5"/>
            <w:tcW w:w="6122" w:type="dxa"/>
            <w:tcBorders>
              <w:top w:val="nil"/>
              <w:left w:val="nil"/>
              <w:bottom w:val="single" w:sz="4"/>
              <w:right w:val="nil"/>
            </w:tcBorders>
          </w:tcPr>
          <w:p>
            <w:pPr>
              <w:pStyle w:val="0"/>
            </w:pPr>
            <w:r>
              <w:rPr>
                <w:sz w:val="24"/>
              </w:rPr>
            </w:r>
          </w:p>
        </w:tc>
      </w:tr>
      <w:tr>
        <w:tc>
          <w:tcPr>
            <w:tcW w:w="2940" w:type="dxa"/>
            <w:tcBorders>
              <w:top w:val="nil"/>
              <w:left w:val="nil"/>
              <w:bottom w:val="nil"/>
              <w:right w:val="nil"/>
            </w:tcBorders>
          </w:tcPr>
          <w:p>
            <w:pPr>
              <w:pStyle w:val="0"/>
            </w:pPr>
            <w:r>
              <w:rPr>
                <w:sz w:val="24"/>
              </w:rPr>
            </w:r>
          </w:p>
        </w:tc>
        <w:tc>
          <w:tcPr>
            <w:gridSpan w:val="5"/>
            <w:tcW w:w="6122" w:type="dxa"/>
            <w:tcBorders>
              <w:top w:val="single" w:sz="4"/>
              <w:left w:val="nil"/>
              <w:bottom w:val="single" w:sz="4"/>
              <w:right w:val="nil"/>
            </w:tcBorders>
          </w:tcPr>
          <w:p>
            <w:pPr>
              <w:pStyle w:val="0"/>
            </w:pPr>
            <w:r>
              <w:rPr>
                <w:sz w:val="24"/>
              </w:rPr>
            </w:r>
          </w:p>
        </w:tc>
      </w:tr>
      <w:tr>
        <w:tc>
          <w:tcPr>
            <w:tcW w:w="2940" w:type="dxa"/>
            <w:tcBorders>
              <w:top w:val="nil"/>
              <w:left w:val="nil"/>
              <w:bottom w:val="nil"/>
              <w:right w:val="nil"/>
            </w:tcBorders>
          </w:tcPr>
          <w:p>
            <w:pPr>
              <w:pStyle w:val="0"/>
            </w:pPr>
            <w:r>
              <w:rPr>
                <w:sz w:val="24"/>
              </w:rPr>
            </w:r>
          </w:p>
        </w:tc>
        <w:tc>
          <w:tcPr>
            <w:gridSpan w:val="5"/>
            <w:tcW w:w="6122" w:type="dxa"/>
            <w:tcBorders>
              <w:top w:val="single" w:sz="4"/>
              <w:left w:val="nil"/>
              <w:bottom w:val="nil"/>
              <w:right w:val="nil"/>
            </w:tcBorders>
          </w:tcPr>
          <w:p>
            <w:pPr>
              <w:pStyle w:val="0"/>
            </w:pPr>
            <w:r>
              <w:rPr>
                <w:sz w:val="24"/>
              </w:rPr>
              <w:t xml:space="preserve">Документ, удостоверяющий личность:</w:t>
            </w:r>
          </w:p>
          <w:p>
            <w:pPr>
              <w:pStyle w:val="0"/>
            </w:pPr>
            <w:r>
              <w:rPr>
                <w:sz w:val="24"/>
              </w:rPr>
              <w:t xml:space="preserve">серия __________ N ________________________________</w:t>
            </w:r>
          </w:p>
        </w:tc>
      </w:tr>
      <w:tr>
        <w:tc>
          <w:tcPr>
            <w:tcW w:w="2940" w:type="dxa"/>
            <w:tcBorders>
              <w:top w:val="nil"/>
              <w:left w:val="nil"/>
              <w:bottom w:val="nil"/>
              <w:right w:val="nil"/>
            </w:tcBorders>
          </w:tcPr>
          <w:p>
            <w:pPr>
              <w:pStyle w:val="0"/>
            </w:pPr>
            <w:r>
              <w:rPr>
                <w:sz w:val="24"/>
              </w:rPr>
            </w:r>
          </w:p>
        </w:tc>
        <w:tc>
          <w:tcPr>
            <w:gridSpan w:val="2"/>
            <w:tcW w:w="795" w:type="dxa"/>
            <w:vAlign w:val="bottom"/>
            <w:tcBorders>
              <w:top w:val="nil"/>
              <w:left w:val="nil"/>
              <w:bottom w:val="nil"/>
              <w:right w:val="nil"/>
            </w:tcBorders>
          </w:tcPr>
          <w:p>
            <w:pPr>
              <w:pStyle w:val="0"/>
            </w:pPr>
            <w:r>
              <w:rPr>
                <w:sz w:val="24"/>
              </w:rPr>
              <w:t xml:space="preserve">выдан</w:t>
            </w:r>
          </w:p>
        </w:tc>
        <w:tc>
          <w:tcPr>
            <w:gridSpan w:val="3"/>
            <w:tcW w:w="5327" w:type="dxa"/>
            <w:tcBorders>
              <w:top w:val="nil"/>
              <w:left w:val="nil"/>
              <w:bottom w:val="single" w:sz="4"/>
              <w:right w:val="nil"/>
            </w:tcBorders>
          </w:tcPr>
          <w:p>
            <w:pPr>
              <w:pStyle w:val="0"/>
              <w:jc w:val="both"/>
            </w:pPr>
            <w:r>
              <w:rPr>
                <w:sz w:val="24"/>
              </w:rPr>
            </w:r>
          </w:p>
        </w:tc>
      </w:tr>
      <w:tr>
        <w:tc>
          <w:tcPr>
            <w:tcW w:w="2940" w:type="dxa"/>
            <w:tcBorders>
              <w:top w:val="nil"/>
              <w:left w:val="nil"/>
              <w:bottom w:val="nil"/>
              <w:right w:val="nil"/>
            </w:tcBorders>
          </w:tcPr>
          <w:p>
            <w:pPr>
              <w:pStyle w:val="0"/>
            </w:pPr>
            <w:r>
              <w:rPr>
                <w:sz w:val="24"/>
              </w:rPr>
            </w:r>
          </w:p>
        </w:tc>
        <w:tc>
          <w:tcPr>
            <w:gridSpan w:val="2"/>
            <w:tcW w:w="795" w:type="dxa"/>
            <w:tcBorders>
              <w:top w:val="nil"/>
              <w:left w:val="nil"/>
              <w:bottom w:val="nil"/>
              <w:right w:val="nil"/>
            </w:tcBorders>
          </w:tcPr>
          <w:p>
            <w:pPr>
              <w:pStyle w:val="0"/>
            </w:pPr>
            <w:r>
              <w:rPr>
                <w:sz w:val="24"/>
              </w:rPr>
            </w:r>
          </w:p>
        </w:tc>
        <w:tc>
          <w:tcPr>
            <w:gridSpan w:val="3"/>
            <w:tcW w:w="5327" w:type="dxa"/>
            <w:tcBorders>
              <w:top w:val="single" w:sz="4"/>
              <w:left w:val="nil"/>
              <w:bottom w:val="nil"/>
              <w:right w:val="nil"/>
            </w:tcBorders>
          </w:tcPr>
          <w:p>
            <w:pPr>
              <w:pStyle w:val="0"/>
              <w:jc w:val="center"/>
            </w:pPr>
            <w:r>
              <w:rPr>
                <w:sz w:val="24"/>
              </w:rPr>
              <w:t xml:space="preserve">(кем и когда)</w:t>
            </w:r>
          </w:p>
        </w:tc>
      </w:tr>
      <w:tr>
        <w:tc>
          <w:tcPr>
            <w:tcW w:w="2940" w:type="dxa"/>
            <w:tcBorders>
              <w:top w:val="nil"/>
              <w:left w:val="nil"/>
              <w:bottom w:val="nil"/>
              <w:right w:val="nil"/>
            </w:tcBorders>
          </w:tcPr>
          <w:p>
            <w:pPr>
              <w:pStyle w:val="0"/>
            </w:pPr>
            <w:r>
              <w:rPr>
                <w:sz w:val="24"/>
              </w:rPr>
            </w:r>
          </w:p>
        </w:tc>
        <w:tc>
          <w:tcPr>
            <w:gridSpan w:val="5"/>
            <w:tcW w:w="6122" w:type="dxa"/>
            <w:tcBorders>
              <w:top w:val="nil"/>
              <w:left w:val="nil"/>
              <w:bottom w:val="single" w:sz="4"/>
              <w:right w:val="nil"/>
            </w:tcBorders>
          </w:tcPr>
          <w:p>
            <w:pPr>
              <w:pStyle w:val="0"/>
            </w:pPr>
            <w:r>
              <w:rPr>
                <w:sz w:val="24"/>
              </w:rPr>
            </w:r>
          </w:p>
        </w:tc>
      </w:tr>
      <w:tr>
        <w:tc>
          <w:tcPr>
            <w:tcW w:w="2940" w:type="dxa"/>
            <w:tcBorders>
              <w:top w:val="nil"/>
              <w:left w:val="nil"/>
              <w:bottom w:val="nil"/>
              <w:right w:val="nil"/>
            </w:tcBorders>
          </w:tcPr>
          <w:p>
            <w:pPr>
              <w:pStyle w:val="0"/>
            </w:pPr>
            <w:r>
              <w:rPr>
                <w:sz w:val="24"/>
              </w:rPr>
            </w:r>
          </w:p>
        </w:tc>
        <w:tc>
          <w:tcPr>
            <w:gridSpan w:val="5"/>
            <w:tcW w:w="6122" w:type="dxa"/>
            <w:tcBorders>
              <w:top w:val="single" w:sz="4"/>
              <w:left w:val="nil"/>
              <w:bottom w:val="single" w:sz="4"/>
              <w:right w:val="nil"/>
            </w:tcBorders>
          </w:tcPr>
          <w:p>
            <w:pPr>
              <w:pStyle w:val="0"/>
            </w:pPr>
            <w:r>
              <w:rPr>
                <w:sz w:val="24"/>
              </w:rPr>
            </w:r>
          </w:p>
        </w:tc>
      </w:tr>
      <w:tr>
        <w:tblPrEx>
          <w:tblBorders>
            <w:insideH w:val="single" w:sz="4"/>
          </w:tblBorders>
        </w:tblPrEx>
        <w:tc>
          <w:tcPr>
            <w:tcW w:w="2940" w:type="dxa"/>
            <w:tcBorders>
              <w:top w:val="nil"/>
              <w:left w:val="nil"/>
              <w:bottom w:val="nil"/>
              <w:right w:val="nil"/>
            </w:tcBorders>
          </w:tcPr>
          <w:p>
            <w:pPr>
              <w:pStyle w:val="0"/>
            </w:pPr>
            <w:r>
              <w:rPr>
                <w:sz w:val="24"/>
              </w:rPr>
            </w:r>
          </w:p>
        </w:tc>
        <w:tc>
          <w:tcPr>
            <w:gridSpan w:val="3"/>
            <w:tcW w:w="2415" w:type="dxa"/>
            <w:vAlign w:val="bottom"/>
            <w:tcBorders>
              <w:top w:val="single" w:sz="4"/>
              <w:left w:val="nil"/>
              <w:bottom w:val="nil"/>
              <w:right w:val="nil"/>
            </w:tcBorders>
          </w:tcPr>
          <w:p>
            <w:pPr>
              <w:pStyle w:val="0"/>
            </w:pPr>
            <w:r>
              <w:rPr>
                <w:sz w:val="24"/>
              </w:rPr>
              <w:t xml:space="preserve">Контактный телефон</w:t>
            </w:r>
          </w:p>
        </w:tc>
        <w:tc>
          <w:tcPr>
            <w:gridSpan w:val="2"/>
            <w:tcW w:w="3707" w:type="dxa"/>
            <w:tcBorders>
              <w:top w:val="single" w:sz="4"/>
              <w:left w:val="nil"/>
              <w:bottom w:val="single" w:sz="4"/>
              <w:right w:val="nil"/>
            </w:tcBorders>
          </w:tcPr>
          <w:p>
            <w:pPr>
              <w:pStyle w:val="0"/>
              <w:jc w:val="both"/>
            </w:pPr>
            <w:r>
              <w:rPr>
                <w:sz w:val="24"/>
              </w:rPr>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45"/>
      </w:tblGrid>
      <w:tr>
        <w:tc>
          <w:tcPr>
            <w:tcW w:w="9045" w:type="dxa"/>
            <w:tcBorders>
              <w:top w:val="nil"/>
              <w:left w:val="nil"/>
              <w:bottom w:val="nil"/>
              <w:right w:val="nil"/>
            </w:tcBorders>
          </w:tcPr>
          <w:bookmarkStart w:id="121" w:name="P121"/>
          <w:bookmarkEnd w:id="121"/>
          <w:p>
            <w:pPr>
              <w:pStyle w:val="0"/>
              <w:jc w:val="center"/>
            </w:pPr>
            <w:r>
              <w:rPr>
                <w:sz w:val="24"/>
              </w:rPr>
              <w:t xml:space="preserve">ЗАЯВЛЕНИЕ</w:t>
            </w:r>
          </w:p>
        </w:tc>
      </w:tr>
    </w:tbl>
    <w:p>
      <w:pPr>
        <w:pStyle w:val="0"/>
      </w:pPr>
      <w:r>
        <w:rPr>
          <w:sz w:val="24"/>
        </w:rPr>
      </w:r>
    </w:p>
    <w:tbl>
      <w:tblPr>
        <w:tblInd w:w="0" w:type="dxa"/>
        <w:tblLayout w:type="fixed"/>
        <w:tblCellMar>
          <w:top w:w="102" w:type="dxa"/>
          <w:left w:w="62" w:type="dxa"/>
          <w:bottom w:w="102" w:type="dxa"/>
          <w:right w:w="62" w:type="dxa"/>
        </w:tblCellMar>
      </w:tblPr>
      <w:tblGrid>
        <w:gridCol w:w="397"/>
        <w:gridCol w:w="4082"/>
        <w:gridCol w:w="4252"/>
        <w:gridCol w:w="340"/>
      </w:tblGrid>
      <w:tr>
        <w:tc>
          <w:tcPr>
            <w:gridSpan w:val="4"/>
            <w:tcW w:w="9071" w:type="dxa"/>
            <w:tcBorders>
              <w:top w:val="nil"/>
              <w:left w:val="nil"/>
              <w:bottom w:val="nil"/>
              <w:right w:val="nil"/>
            </w:tcBorders>
          </w:tcPr>
          <w:p>
            <w:pPr>
              <w:pStyle w:val="0"/>
              <w:ind w:firstLine="283"/>
              <w:jc w:val="both"/>
            </w:pPr>
            <w:r>
              <w:rPr>
                <w:sz w:val="24"/>
              </w:rPr>
              <w:t xml:space="preserve">Прошу назначить единовременную выплату, установленную </w:t>
            </w:r>
            <w:hyperlink w:history="0" r:id="rId22" w:tooltip="Указ Президента РФ от 10.03.2025 N 137 &quot;О дополнительных социальных гарантиях отдельным категориям граждан Российской Федерации&quot; {КонсультантПлюс}">
              <w:r>
                <w:rPr>
                  <w:sz w:val="24"/>
                  <w:color w:val="0000ff"/>
                </w:rPr>
                <w:t xml:space="preserve">Указом</w:t>
              </w:r>
            </w:hyperlink>
            <w:r>
              <w:rPr>
                <w:sz w:val="24"/>
              </w:rPr>
              <w:t xml:space="preserve"> Президента Российской Федерации от 10 марта 2025 г. N 137 "О дополнительных социальных гарантиях отдельным категориям граждан Российской Федерации" (далее - единовременная выплата).</w:t>
            </w:r>
          </w:p>
          <w:p>
            <w:pPr>
              <w:pStyle w:val="0"/>
              <w:ind w:firstLine="283"/>
              <w:jc w:val="both"/>
            </w:pPr>
            <w:r>
              <w:rPr>
                <w:sz w:val="24"/>
              </w:rPr>
              <w:t xml:space="preserve">О себе сообщаю следующие сведения (в случае подачи заявления представителем лица, признанного инвалидом, сведения указываются в отношении лица, которому назначается единовременная выплата):</w:t>
            </w:r>
          </w:p>
          <w:p>
            <w:pPr>
              <w:pStyle w:val="0"/>
              <w:ind w:firstLine="283"/>
              <w:jc w:val="both"/>
            </w:pPr>
            <w:r>
              <w:rPr>
                <w:sz w:val="24"/>
              </w:rPr>
              <w:t xml:space="preserve">1. В настоящее время (проставить отметку в соответствующем квадрате):</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прохожу военную службу (службу) или пребываю в добровольческом формировании, созданном в порядке, предусмотренном Федеральным </w:t>
            </w:r>
            <w:hyperlink w:history="0" r:id="rId24" w:tooltip="Федеральный закон от 31.05.1996 N 61-ФЗ (ред. от 26.12.2024) &quot;Об обороне&quot; {КонсультантПлюс}">
              <w:r>
                <w:rPr>
                  <w:sz w:val="24"/>
                  <w:color w:val="0000ff"/>
                </w:rPr>
                <w:t xml:space="preserve">законом</w:t>
              </w:r>
            </w:hyperlink>
            <w:r>
              <w:rPr>
                <w:sz w:val="24"/>
              </w:rPr>
              <w:t xml:space="preserve"> "Об обороне" (далее - добровольческое формирование), в:</w:t>
            </w:r>
          </w:p>
        </w:tc>
      </w:tr>
      <w:tr>
        <w:tc>
          <w:tcPr>
            <w:gridSpan w:val="4"/>
            <w:tcW w:w="9071" w:type="dxa"/>
            <w:tcBorders>
              <w:top w:val="nil"/>
              <w:left w:val="nil"/>
              <w:bottom w:val="single" w:sz="4"/>
              <w:right w:val="nil"/>
            </w:tcBorders>
          </w:tcPr>
          <w:p>
            <w:pPr>
              <w:pStyle w:val="0"/>
              <w:ind w:firstLine="283"/>
              <w:jc w:val="both"/>
            </w:pPr>
            <w:r>
              <w:rPr>
                <w:sz w:val="24"/>
              </w:rPr>
            </w:r>
          </w:p>
        </w:tc>
      </w:tr>
      <w:tr>
        <w:tc>
          <w:tcPr>
            <w:gridSpan w:val="4"/>
            <w:tcW w:w="9071" w:type="dxa"/>
            <w:tcBorders>
              <w:top w:val="single" w:sz="4"/>
              <w:left w:val="nil"/>
              <w:bottom w:val="nil"/>
              <w:right w:val="nil"/>
            </w:tcBorders>
          </w:tcPr>
          <w:p>
            <w:pPr>
              <w:pStyle w:val="0"/>
              <w:jc w:val="center"/>
            </w:pPr>
            <w:r>
              <w:rPr>
                <w:sz w:val="24"/>
              </w:rPr>
              <w:t xml:space="preserve">(наименование федерального органа</w:t>
            </w:r>
          </w:p>
        </w:tc>
      </w:tr>
      <w:tr>
        <w:tc>
          <w:tcPr>
            <w:gridSpan w:val="3"/>
            <w:tcW w:w="8731" w:type="dxa"/>
            <w:tcBorders>
              <w:top w:val="nil"/>
              <w:left w:val="nil"/>
              <w:bottom w:val="single" w:sz="4"/>
              <w:right w:val="nil"/>
            </w:tcBorders>
          </w:tcPr>
          <w:p>
            <w:pPr>
              <w:pStyle w:val="0"/>
              <w:jc w:val="center"/>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gridSpan w:val="3"/>
            <w:tcW w:w="8731" w:type="dxa"/>
            <w:tcBorders>
              <w:top w:val="single" w:sz="4"/>
              <w:left w:val="nil"/>
              <w:bottom w:val="nil"/>
              <w:right w:val="nil"/>
            </w:tcBorders>
          </w:tcPr>
          <w:p>
            <w:pPr>
              <w:pStyle w:val="0"/>
              <w:jc w:val="center"/>
            </w:pPr>
            <w:r>
              <w:rPr>
                <w:sz w:val="24"/>
              </w:rPr>
              <w:t xml:space="preserve">исполнительной власти, в котором военнослужащий проходит военную службу (службу) или в котором гражданин пребывает в добровольческом формировании)</w:t>
            </w:r>
          </w:p>
        </w:tc>
        <w:tc>
          <w:tcPr>
            <w:tcW w:w="340" w:type="dxa"/>
            <w:tcBorders>
              <w:top w:val="nil"/>
              <w:left w:val="nil"/>
              <w:bottom w:val="nil"/>
              <w:right w:val="nil"/>
            </w:tcBorders>
          </w:tcPr>
          <w:p>
            <w:pPr>
              <w:pStyle w:val="0"/>
              <w:jc w:val="both"/>
            </w:pPr>
            <w:r>
              <w:rPr>
                <w:sz w:val="24"/>
              </w:rPr>
            </w:r>
          </w:p>
        </w:tc>
      </w:tr>
      <w:tr>
        <w:tc>
          <w:tcPr>
            <w:gridSpan w:val="4"/>
            <w:tcW w:w="9071" w:type="dxa"/>
            <w:tcBorders>
              <w:top w:val="nil"/>
              <w:left w:val="nil"/>
              <w:bottom w:val="nil"/>
              <w:right w:val="nil"/>
            </w:tcBorders>
          </w:tcPr>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прохожу военную службу (службу) и не пребываю в добровольческом формировании.</w:t>
            </w:r>
          </w:p>
        </w:tc>
      </w:tr>
      <w:tr>
        <w:tc>
          <w:tcPr>
            <w:gridSpan w:val="2"/>
            <w:tcW w:w="4479" w:type="dxa"/>
            <w:vAlign w:val="bottom"/>
            <w:tcBorders>
              <w:top w:val="nil"/>
              <w:left w:val="nil"/>
              <w:bottom w:val="nil"/>
              <w:right w:val="nil"/>
            </w:tcBorders>
          </w:tcPr>
          <w:p>
            <w:pPr>
              <w:pStyle w:val="0"/>
              <w:ind w:firstLine="283"/>
              <w:jc w:val="both"/>
            </w:pPr>
            <w:r>
              <w:rPr>
                <w:sz w:val="24"/>
              </w:rPr>
              <w:t xml:space="preserve">2. С военной службы (службы) уволен</w:t>
            </w:r>
          </w:p>
        </w:tc>
        <w:tc>
          <w:tcPr>
            <w:gridSpan w:val="2"/>
            <w:tcW w:w="4592" w:type="dxa"/>
            <w:vAlign w:val="bottom"/>
            <w:tcBorders>
              <w:top w:val="nil"/>
              <w:left w:val="nil"/>
              <w:bottom w:val="single" w:sz="4"/>
              <w:right w:val="nil"/>
            </w:tcBorders>
          </w:tcPr>
          <w:p>
            <w:pPr>
              <w:pStyle w:val="0"/>
              <w:jc w:val="right"/>
            </w:pPr>
            <w:r>
              <w:rPr>
                <w:sz w:val="24"/>
              </w:rPr>
              <w:t xml:space="preserve">.</w:t>
            </w:r>
          </w:p>
        </w:tc>
      </w:tr>
      <w:tr>
        <w:tc>
          <w:tcPr>
            <w:gridSpan w:val="2"/>
            <w:tcW w:w="4479" w:type="dxa"/>
            <w:tcBorders>
              <w:top w:val="nil"/>
              <w:left w:val="nil"/>
              <w:bottom w:val="nil"/>
              <w:right w:val="nil"/>
            </w:tcBorders>
          </w:tcPr>
          <w:p>
            <w:pPr>
              <w:pStyle w:val="0"/>
            </w:pPr>
            <w:r>
              <w:rPr>
                <w:sz w:val="24"/>
              </w:rPr>
            </w:r>
          </w:p>
        </w:tc>
        <w:tc>
          <w:tcPr>
            <w:gridSpan w:val="2"/>
            <w:tcW w:w="4592" w:type="dxa"/>
            <w:tcBorders>
              <w:top w:val="single" w:sz="4"/>
              <w:left w:val="nil"/>
              <w:bottom w:val="nil"/>
              <w:right w:val="nil"/>
            </w:tcBorders>
          </w:tcPr>
          <w:p>
            <w:pPr>
              <w:pStyle w:val="0"/>
              <w:jc w:val="center"/>
            </w:pPr>
            <w:r>
              <w:rPr>
                <w:sz w:val="24"/>
              </w:rPr>
              <w:t xml:space="preserve">(дата увольнения с военной службы)</w:t>
            </w:r>
          </w:p>
        </w:tc>
      </w:tr>
      <w:tr>
        <w:tc>
          <w:tcPr>
            <w:gridSpan w:val="4"/>
            <w:tcW w:w="9071" w:type="dxa"/>
            <w:tcBorders>
              <w:top w:val="nil"/>
              <w:left w:val="nil"/>
              <w:bottom w:val="nil"/>
              <w:right w:val="nil"/>
            </w:tcBorders>
          </w:tcPr>
          <w:p>
            <w:pPr>
              <w:pStyle w:val="0"/>
              <w:ind w:firstLine="283"/>
              <w:jc w:val="both"/>
            </w:pPr>
            <w:r>
              <w:rPr>
                <w:sz w:val="24"/>
              </w:rPr>
              <w:t xml:space="preserve">Военную службу (службу) проходил в (проставить отметку в соответствующем квадрате):</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Вооруженных Силах Донецкой Народной Республики (Народной милиции Донецкой Народной Республики), Народной милиции Луганской Народной Республики, органах и подразделениях Государственной оперативно-спасательной службы Донецкой Народной Республики;</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Министерстве внутренних дел Донецкой Народной Республики, органах внутренних дел Донецкой Народной Республики, Луганской Народной Республики;</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Министерстве государственной безопасности Донецкой Народной Республики, Министерстве государственной безопасности Луганской Народной Республики.</w:t>
            </w:r>
          </w:p>
          <w:p>
            <w:pPr>
              <w:pStyle w:val="0"/>
              <w:ind w:firstLine="283"/>
              <w:jc w:val="both"/>
            </w:pPr>
            <w:r>
              <w:rPr>
                <w:sz w:val="24"/>
              </w:rPr>
              <w:t xml:space="preserve">3. Являюсь инвалидом (проставить отметку в соответствующем квадрате):</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I группы;</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II группы;</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III группы.</w:t>
            </w:r>
          </w:p>
          <w:p>
            <w:pPr>
              <w:pStyle w:val="0"/>
              <w:ind w:firstLine="283"/>
              <w:jc w:val="both"/>
            </w:pPr>
            <w:r>
              <w:rPr>
                <w:sz w:val="24"/>
              </w:rPr>
              <w:t xml:space="preserve">4. Выплаты, установленные федеральными законами "</w:t>
            </w:r>
            <w:hyperlink w:history="0" r:id="rId25" w:tooltip="Федеральный закон от 28.03.1998 N 52-ФЗ (ред. от 13.07.2024)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quot; {КонсультантПлюс}">
              <w:r>
                <w:rPr>
                  <w:sz w:val="24"/>
                  <w:color w:val="0000ff"/>
                </w:rPr>
                <w:t xml:space="preserve">Об обязательном государственном страховании</w:t>
              </w:r>
            </w:hyperlink>
            <w:r>
              <w:rPr>
                <w:sz w:val="24"/>
              </w:rPr>
              <w:t xml:space="preserve">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 "</w:t>
            </w:r>
            <w:hyperlink w:history="0" r:id="rId26"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О денежном довольствии</w:t>
              </w:r>
            </w:hyperlink>
            <w:r>
              <w:rPr>
                <w:sz w:val="24"/>
              </w:rPr>
              <w:t xml:space="preserve"> военнослужащих и предоставлении им отдельных выплат", </w:t>
            </w:r>
            <w:hyperlink w:history="0" r:id="rId27" w:tooltip="Федеральный закон от 07.02.2011 N 3-ФЗ (ред. от 28.12.2024) &quot;О полиции&quot; (с изм. и доп., вступ. в силу с 01.03.2025) {КонсультантПлюс}">
              <w:r>
                <w:rPr>
                  <w:sz w:val="24"/>
                  <w:color w:val="0000ff"/>
                </w:rPr>
                <w:t xml:space="preserve">"О полиции"</w:t>
              </w:r>
            </w:hyperlink>
            <w:r>
              <w:rPr>
                <w:sz w:val="24"/>
              </w:rPr>
              <w:t xml:space="preserve">, "</w:t>
            </w:r>
            <w:hyperlink w:history="0" r:id="rId28" w:tooltip="Федеральный закон от 30.12.2012 N 283-ФЗ (ред. от 28.0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О социальных гарантиях</w:t>
              </w:r>
            </w:hyperlink>
            <w:r>
              <w:rPr>
                <w:sz w:val="24"/>
              </w:rPr>
              <w:t xml:space="preserve"> сотрудникам некоторых федеральных органов исполнительной власти и внесении изменений в отдельные законодательные акты Российской Федерации" (проставить отметку в соответствующем квадрате):</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получал;</w:t>
            </w:r>
          </w:p>
          <w:p>
            <w:pPr>
              <w:pStyle w:val="0"/>
              <w:ind w:firstLine="283"/>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получал.</w:t>
            </w:r>
          </w:p>
          <w:p>
            <w:pPr>
              <w:pStyle w:val="0"/>
              <w:ind w:firstLine="283"/>
              <w:jc w:val="both"/>
            </w:pPr>
            <w:r>
              <w:rPr>
                <w:sz w:val="24"/>
              </w:rPr>
              <w:t xml:space="preserve">Единовременную выплату прошу произвести по следующим реквизитам:</w:t>
            </w:r>
          </w:p>
          <w:p>
            <w:pPr>
              <w:pStyle w:val="0"/>
              <w:ind w:firstLine="283"/>
              <w:jc w:val="both"/>
            </w:pPr>
            <w:r>
              <w:rPr>
                <w:sz w:val="24"/>
              </w:rPr>
              <w:t xml:space="preserve">наименование</w:t>
            </w:r>
          </w:p>
          <w:p>
            <w:pPr>
              <w:pStyle w:val="0"/>
              <w:ind w:firstLine="283"/>
              <w:jc w:val="both"/>
            </w:pPr>
            <w:r>
              <w:rPr>
                <w:sz w:val="24"/>
              </w:rPr>
              <w:t xml:space="preserve">кредитной организации __________________________________________________;</w:t>
            </w:r>
          </w:p>
          <w:p>
            <w:pPr>
              <w:pStyle w:val="0"/>
              <w:ind w:firstLine="283"/>
              <w:jc w:val="both"/>
            </w:pPr>
            <w:r>
              <w:rPr>
                <w:sz w:val="24"/>
              </w:rPr>
              <w:t xml:space="preserve">номер лицевого счета ____________________________________________________;</w:t>
            </w:r>
          </w:p>
          <w:p>
            <w:pPr>
              <w:pStyle w:val="0"/>
              <w:ind w:firstLine="283"/>
              <w:jc w:val="both"/>
            </w:pPr>
            <w:r>
              <w:rPr>
                <w:sz w:val="24"/>
              </w:rPr>
              <w:t xml:space="preserve">корреспондентский счет</w:t>
            </w:r>
          </w:p>
          <w:p>
            <w:pPr>
              <w:pStyle w:val="0"/>
              <w:ind w:firstLine="283"/>
              <w:jc w:val="both"/>
            </w:pPr>
            <w:r>
              <w:rPr>
                <w:sz w:val="24"/>
              </w:rPr>
              <w:t xml:space="preserve">кредитной организации __________________________________________________;</w:t>
            </w:r>
          </w:p>
          <w:p>
            <w:pPr>
              <w:pStyle w:val="0"/>
              <w:ind w:firstLine="283"/>
              <w:jc w:val="both"/>
            </w:pPr>
            <w:r>
              <w:rPr>
                <w:sz w:val="24"/>
              </w:rPr>
              <w:t xml:space="preserve">БИК _________________ ИНН __________________ КПП _____________________.</w:t>
            </w:r>
          </w:p>
          <w:p>
            <w:pPr>
              <w:pStyle w:val="0"/>
              <w:ind w:firstLine="283"/>
              <w:jc w:val="both"/>
            </w:pPr>
            <w:r>
              <w:rPr>
                <w:sz w:val="24"/>
              </w:rPr>
              <w:t xml:space="preserve">К заявлению прилагаю следующие документы:</w:t>
            </w:r>
          </w:p>
        </w:tc>
      </w:tr>
      <w:tr>
        <w:tc>
          <w:tcPr>
            <w:tcW w:w="397" w:type="dxa"/>
            <w:vAlign w:val="bottom"/>
            <w:tcBorders>
              <w:top w:val="nil"/>
              <w:left w:val="nil"/>
              <w:bottom w:val="nil"/>
              <w:right w:val="nil"/>
            </w:tcBorders>
          </w:tcPr>
          <w:p>
            <w:pPr>
              <w:pStyle w:val="0"/>
              <w:jc w:val="both"/>
            </w:pPr>
            <w:r>
              <w:rPr>
                <w:sz w:val="24"/>
              </w:rPr>
              <w:t xml:space="preserve">1.</w:t>
            </w:r>
          </w:p>
        </w:tc>
        <w:tc>
          <w:tcPr>
            <w:gridSpan w:val="2"/>
            <w:tcW w:w="8334" w:type="dxa"/>
            <w:tcBorders>
              <w:top w:val="nil"/>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397" w:type="dxa"/>
            <w:vAlign w:val="bottom"/>
            <w:tcBorders>
              <w:top w:val="nil"/>
              <w:left w:val="nil"/>
              <w:bottom w:val="nil"/>
              <w:right w:val="nil"/>
            </w:tcBorders>
          </w:tcPr>
          <w:p>
            <w:pPr>
              <w:pStyle w:val="0"/>
              <w:jc w:val="both"/>
            </w:pPr>
            <w:r>
              <w:rPr>
                <w:sz w:val="24"/>
              </w:rPr>
              <w:t xml:space="preserve">2.</w:t>
            </w:r>
          </w:p>
        </w:tc>
        <w:tc>
          <w:tcPr>
            <w:gridSpan w:val="2"/>
            <w:tcW w:w="8334" w:type="dxa"/>
            <w:tcBorders>
              <w:top w:val="single" w:sz="4"/>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397" w:type="dxa"/>
            <w:vAlign w:val="bottom"/>
            <w:tcBorders>
              <w:top w:val="nil"/>
              <w:left w:val="nil"/>
              <w:bottom w:val="nil"/>
              <w:right w:val="nil"/>
            </w:tcBorders>
          </w:tcPr>
          <w:p>
            <w:pPr>
              <w:pStyle w:val="0"/>
              <w:jc w:val="both"/>
            </w:pPr>
            <w:r>
              <w:rPr>
                <w:sz w:val="24"/>
              </w:rPr>
              <w:t xml:space="preserve">3.</w:t>
            </w:r>
          </w:p>
        </w:tc>
        <w:tc>
          <w:tcPr>
            <w:gridSpan w:val="2"/>
            <w:tcW w:w="8334" w:type="dxa"/>
            <w:tcBorders>
              <w:top w:val="single" w:sz="4"/>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397" w:type="dxa"/>
            <w:vAlign w:val="bottom"/>
            <w:tcBorders>
              <w:top w:val="nil"/>
              <w:left w:val="nil"/>
              <w:bottom w:val="nil"/>
              <w:right w:val="nil"/>
            </w:tcBorders>
          </w:tcPr>
          <w:p>
            <w:pPr>
              <w:pStyle w:val="0"/>
              <w:jc w:val="both"/>
            </w:pPr>
            <w:r>
              <w:rPr>
                <w:sz w:val="24"/>
              </w:rPr>
              <w:t xml:space="preserve">4.</w:t>
            </w:r>
          </w:p>
        </w:tc>
        <w:tc>
          <w:tcPr>
            <w:gridSpan w:val="2"/>
            <w:tcW w:w="8334" w:type="dxa"/>
            <w:tcBorders>
              <w:top w:val="single" w:sz="4"/>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397" w:type="dxa"/>
            <w:vAlign w:val="bottom"/>
            <w:tcBorders>
              <w:top w:val="nil"/>
              <w:left w:val="nil"/>
              <w:bottom w:val="nil"/>
              <w:right w:val="nil"/>
            </w:tcBorders>
          </w:tcPr>
          <w:p>
            <w:pPr>
              <w:pStyle w:val="0"/>
              <w:jc w:val="both"/>
            </w:pPr>
            <w:r>
              <w:rPr>
                <w:sz w:val="24"/>
              </w:rPr>
              <w:t xml:space="preserve">5.</w:t>
            </w:r>
          </w:p>
        </w:tc>
        <w:tc>
          <w:tcPr>
            <w:gridSpan w:val="2"/>
            <w:tcW w:w="8334" w:type="dxa"/>
            <w:tcBorders>
              <w:top w:val="single" w:sz="4"/>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gridSpan w:val="4"/>
            <w:tcW w:w="9071" w:type="dxa"/>
            <w:tcBorders>
              <w:top w:val="nil"/>
              <w:left w:val="nil"/>
              <w:bottom w:val="nil"/>
              <w:right w:val="nil"/>
            </w:tcBorders>
          </w:tcPr>
          <w:p>
            <w:pPr>
              <w:pStyle w:val="0"/>
            </w:pPr>
            <w:r>
              <w:rPr>
                <w:sz w:val="24"/>
              </w:rPr>
              <w:t xml:space="preserve">"__" ________________ 20__ г.</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495"/>
        <w:gridCol w:w="5534"/>
      </w:tblGrid>
      <w:tr>
        <w:tc>
          <w:tcPr>
            <w:tcW w:w="3495" w:type="dxa"/>
            <w:tcBorders>
              <w:top w:val="nil"/>
              <w:left w:val="nil"/>
              <w:bottom w:val="nil"/>
              <w:right w:val="nil"/>
            </w:tcBorders>
          </w:tcPr>
          <w:p>
            <w:pPr>
              <w:pStyle w:val="0"/>
            </w:pPr>
            <w:r>
              <w:rPr>
                <w:sz w:val="24"/>
              </w:rPr>
            </w:r>
          </w:p>
        </w:tc>
        <w:tc>
          <w:tcPr>
            <w:tcW w:w="5534" w:type="dxa"/>
            <w:tcBorders>
              <w:top w:val="nil"/>
              <w:left w:val="nil"/>
              <w:bottom w:val="single" w:sz="4"/>
              <w:right w:val="nil"/>
            </w:tcBorders>
          </w:tcPr>
          <w:p>
            <w:pPr>
              <w:pStyle w:val="0"/>
            </w:pPr>
            <w:r>
              <w:rPr>
                <w:sz w:val="24"/>
              </w:rPr>
            </w:r>
          </w:p>
        </w:tc>
      </w:tr>
      <w:tr>
        <w:tc>
          <w:tcPr>
            <w:tcW w:w="3495" w:type="dxa"/>
            <w:tcBorders>
              <w:top w:val="nil"/>
              <w:left w:val="nil"/>
              <w:bottom w:val="nil"/>
              <w:right w:val="nil"/>
            </w:tcBorders>
          </w:tcPr>
          <w:p>
            <w:pPr>
              <w:pStyle w:val="0"/>
            </w:pPr>
            <w:r>
              <w:rPr>
                <w:sz w:val="24"/>
              </w:rPr>
            </w:r>
          </w:p>
        </w:tc>
        <w:tc>
          <w:tcPr>
            <w:tcW w:w="5534" w:type="dxa"/>
            <w:tcBorders>
              <w:top w:val="single" w:sz="4"/>
              <w:left w:val="nil"/>
              <w:bottom w:val="nil"/>
              <w:right w:val="nil"/>
            </w:tcBorders>
          </w:tcPr>
          <w:p>
            <w:pPr>
              <w:pStyle w:val="0"/>
              <w:jc w:val="center"/>
            </w:pPr>
            <w:r>
              <w:rPr>
                <w:sz w:val="24"/>
              </w:rPr>
              <w:t xml:space="preserve">(подпись, фамилия, имя, отчество (при наличии) лица, признанного инвалидом (его представителя)</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t xml:space="preserve">к Правилам назначения и осуществления</w:t>
      </w:r>
    </w:p>
    <w:p>
      <w:pPr>
        <w:pStyle w:val="0"/>
        <w:jc w:val="right"/>
      </w:pPr>
      <w:r>
        <w:rPr>
          <w:sz w:val="24"/>
        </w:rPr>
        <w:t xml:space="preserve">единовременной выплаты, установленной</w:t>
      </w:r>
    </w:p>
    <w:p>
      <w:pPr>
        <w:pStyle w:val="0"/>
        <w:jc w:val="right"/>
      </w:pPr>
      <w:r>
        <w:rPr>
          <w:sz w:val="24"/>
        </w:rPr>
        <w:t xml:space="preserve">Указом Президента Российской Федерации</w:t>
      </w:r>
    </w:p>
    <w:p>
      <w:pPr>
        <w:pStyle w:val="0"/>
        <w:jc w:val="right"/>
      </w:pPr>
      <w:r>
        <w:rPr>
          <w:sz w:val="24"/>
        </w:rPr>
        <w:t xml:space="preserve">от 10 марта 2025 г. N 137</w:t>
      </w:r>
    </w:p>
    <w:p>
      <w:pPr>
        <w:pStyle w:val="0"/>
        <w:jc w:val="right"/>
      </w:pPr>
      <w:r>
        <w:rPr>
          <w:sz w:val="24"/>
        </w:rPr>
        <w:t xml:space="preserve">"О дополнительных социальных гарантиях</w:t>
      </w:r>
    </w:p>
    <w:p>
      <w:pPr>
        <w:pStyle w:val="0"/>
        <w:jc w:val="right"/>
      </w:pPr>
      <w:r>
        <w:rPr>
          <w:sz w:val="24"/>
        </w:rPr>
        <w:t xml:space="preserve">отдельным категориям граждан</w:t>
      </w:r>
    </w:p>
    <w:p>
      <w:pPr>
        <w:pStyle w:val="0"/>
        <w:jc w:val="right"/>
      </w:pPr>
      <w:r>
        <w:rPr>
          <w:sz w:val="24"/>
        </w:rPr>
        <w:t xml:space="preserve">Российской Федерации"</w:t>
      </w:r>
    </w:p>
    <w:p>
      <w:pPr>
        <w:pStyle w:val="0"/>
        <w:jc w:val="right"/>
      </w:pPr>
      <w:r>
        <w:rPr>
          <w:sz w:val="24"/>
        </w:rPr>
      </w:r>
    </w:p>
    <w:p>
      <w:pPr>
        <w:pStyle w:val="0"/>
        <w:jc w:val="right"/>
      </w:pPr>
      <w:r>
        <w:rPr>
          <w:sz w:val="24"/>
        </w:rPr>
        <w:t xml:space="preserve">(форма)</w:t>
      </w:r>
    </w:p>
    <w:p>
      <w:pPr>
        <w:pStyle w:val="0"/>
        <w:jc w:val="right"/>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94" w:name="P194"/>
          <w:bookmarkEnd w:id="194"/>
          <w:p>
            <w:pPr>
              <w:pStyle w:val="0"/>
              <w:jc w:val="center"/>
            </w:pPr>
            <w:r>
              <w:rPr>
                <w:sz w:val="24"/>
              </w:rPr>
              <w:t xml:space="preserve">РАСПИСКА</w:t>
            </w:r>
          </w:p>
          <w:p>
            <w:pPr>
              <w:pStyle w:val="0"/>
              <w:jc w:val="center"/>
            </w:pPr>
            <w:r>
              <w:rPr>
                <w:sz w:val="24"/>
              </w:rPr>
              <w:t xml:space="preserve">о приеме заявления и документов для назначения единовременной выплаты, установленной </w:t>
            </w:r>
            <w:hyperlink w:history="0" r:id="rId29" w:tooltip="Указ Президента РФ от 10.03.2025 N 137 &quot;О дополнительных социальных гарантиях отдельным категориям граждан Российской Федерации&quot; {КонсультантПлюс}">
              <w:r>
                <w:rPr>
                  <w:sz w:val="24"/>
                  <w:color w:val="0000ff"/>
                </w:rPr>
                <w:t xml:space="preserve">Указом</w:t>
              </w:r>
            </w:hyperlink>
            <w:r>
              <w:rPr>
                <w:sz w:val="24"/>
              </w:rPr>
              <w:t xml:space="preserve"> Президента Российской Федерации от 10 марта 2025 г. N 137 "О дополнительных социальных гарантиях отдельным категориям граждан Российской Федерации"</w:t>
            </w:r>
          </w:p>
        </w:tc>
      </w:tr>
    </w:tbl>
    <w:p>
      <w:pPr>
        <w:pStyle w:val="0"/>
      </w:pPr>
      <w:r>
        <w:rPr>
          <w:sz w:val="24"/>
        </w:rPr>
      </w:r>
    </w:p>
    <w:tbl>
      <w:tblPr>
        <w:tblInd w:w="0" w:type="dxa"/>
        <w:tblLayout w:type="fixed"/>
        <w:tblCellMar>
          <w:top w:w="102" w:type="dxa"/>
          <w:left w:w="62" w:type="dxa"/>
          <w:bottom w:w="102" w:type="dxa"/>
          <w:right w:w="62" w:type="dxa"/>
        </w:tblCellMar>
      </w:tblPr>
      <w:tblGrid>
        <w:gridCol w:w="1587"/>
        <w:gridCol w:w="7483"/>
      </w:tblGrid>
      <w:tr>
        <w:tc>
          <w:tcPr>
            <w:tcW w:w="1587" w:type="dxa"/>
            <w:vAlign w:val="bottom"/>
            <w:tcBorders>
              <w:top w:val="nil"/>
              <w:left w:val="nil"/>
              <w:bottom w:val="nil"/>
              <w:right w:val="nil"/>
            </w:tcBorders>
          </w:tcPr>
          <w:p>
            <w:pPr>
              <w:pStyle w:val="0"/>
              <w:ind w:firstLine="283"/>
              <w:jc w:val="both"/>
            </w:pPr>
            <w:r>
              <w:rPr>
                <w:sz w:val="24"/>
              </w:rPr>
              <w:t xml:space="preserve">Заявление</w:t>
            </w:r>
          </w:p>
        </w:tc>
        <w:tc>
          <w:tcPr>
            <w:tcW w:w="7483" w:type="dxa"/>
            <w:tcBorders>
              <w:top w:val="nil"/>
              <w:left w:val="nil"/>
              <w:bottom w:val="single" w:sz="4"/>
              <w:right w:val="nil"/>
            </w:tcBorders>
          </w:tcPr>
          <w:p>
            <w:pPr>
              <w:pStyle w:val="0"/>
              <w:jc w:val="both"/>
            </w:pPr>
            <w:r>
              <w:rPr>
                <w:sz w:val="24"/>
              </w:rPr>
            </w:r>
          </w:p>
        </w:tc>
      </w:tr>
      <w:tr>
        <w:tc>
          <w:tcPr>
            <w:tcW w:w="1587" w:type="dxa"/>
            <w:tcBorders>
              <w:top w:val="nil"/>
              <w:left w:val="nil"/>
              <w:bottom w:val="nil"/>
              <w:right w:val="nil"/>
            </w:tcBorders>
          </w:tcPr>
          <w:p>
            <w:pPr>
              <w:pStyle w:val="0"/>
              <w:jc w:val="center"/>
            </w:pPr>
            <w:r>
              <w:rPr>
                <w:sz w:val="24"/>
              </w:rPr>
            </w:r>
          </w:p>
        </w:tc>
        <w:tc>
          <w:tcPr>
            <w:tcW w:w="7483" w:type="dxa"/>
            <w:tcBorders>
              <w:top w:val="single" w:sz="4"/>
              <w:left w:val="nil"/>
              <w:bottom w:val="nil"/>
              <w:right w:val="nil"/>
            </w:tcBorders>
          </w:tcPr>
          <w:p>
            <w:pPr>
              <w:pStyle w:val="0"/>
              <w:jc w:val="center"/>
            </w:pPr>
            <w:r>
              <w:rPr>
                <w:sz w:val="24"/>
              </w:rPr>
              <w:t xml:space="preserve">(фамилия, имя, отчество (при наличии) лица, принимавшего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с 11 мая 2014 г. и признанного в установленном порядке инвалидом вследствие увечья (ранения, травмы, контузии) или заболевания, полученных им в связи с участием в этих боевых действиях)</w:t>
            </w:r>
          </w:p>
        </w:tc>
      </w:tr>
      <w:tr>
        <w:tc>
          <w:tcPr>
            <w:gridSpan w:val="2"/>
            <w:tcW w:w="9070" w:type="dxa"/>
            <w:tcBorders>
              <w:top w:val="nil"/>
              <w:left w:val="nil"/>
              <w:bottom w:val="nil"/>
              <w:right w:val="nil"/>
            </w:tcBorders>
          </w:tcPr>
          <w:p>
            <w:pPr>
              <w:pStyle w:val="0"/>
              <w:jc w:val="both"/>
            </w:pPr>
            <w:r>
              <w:rPr>
                <w:sz w:val="24"/>
              </w:rPr>
              <w:t xml:space="preserve">и указанные в заявлении документы в количестве _______ штук на ___ листах приняты "__" ______________ 20__ г.</w:t>
            </w:r>
          </w:p>
          <w:p>
            <w:pPr>
              <w:pStyle w:val="0"/>
              <w:ind w:firstLine="283"/>
              <w:jc w:val="both"/>
            </w:pPr>
            <w:r>
              <w:rPr>
                <w:sz w:val="24"/>
              </w:rPr>
              <w:t xml:space="preserve">Регистрационный номер заявления _____________</w:t>
            </w:r>
          </w:p>
        </w:tc>
      </w:tr>
      <w:tr>
        <w:tc>
          <w:tcPr>
            <w:gridSpan w:val="2"/>
            <w:tcW w:w="9070" w:type="dxa"/>
            <w:tcBorders>
              <w:top w:val="nil"/>
              <w:left w:val="nil"/>
              <w:bottom w:val="single" w:sz="4"/>
              <w:right w:val="nil"/>
            </w:tcBorders>
          </w:tcPr>
          <w:p>
            <w:pPr>
              <w:pStyle w:val="0"/>
              <w:jc w:val="both"/>
            </w:pPr>
            <w:r>
              <w:rPr>
                <w:sz w:val="24"/>
              </w:rPr>
            </w:r>
          </w:p>
        </w:tc>
      </w:tr>
      <w:tr>
        <w:tblPrEx>
          <w:tblBorders>
            <w:insideH w:val="single" w:sz="4"/>
          </w:tblBorders>
        </w:tblPrEx>
        <w:tc>
          <w:tcPr>
            <w:gridSpan w:val="2"/>
            <w:tcW w:w="9070" w:type="dxa"/>
            <w:tcBorders>
              <w:top w:val="single" w:sz="4"/>
              <w:left w:val="nil"/>
              <w:bottom w:val="nil"/>
              <w:right w:val="nil"/>
            </w:tcBorders>
          </w:tcPr>
          <w:p>
            <w:pPr>
              <w:pStyle w:val="0"/>
              <w:jc w:val="center"/>
            </w:pPr>
            <w:r>
              <w:rPr>
                <w:sz w:val="24"/>
              </w:rPr>
              <w:t xml:space="preserve">(должность лица военного комиссариата муниципального образования (муниципальных образований), или территориального органа Министерства внутренних дел Российской Федерации на региональном уровне, или территориального органа безопасности)</w:t>
            </w:r>
          </w:p>
        </w:tc>
      </w:tr>
    </w:tbl>
    <w:p>
      <w:pPr>
        <w:pStyle w:val="0"/>
        <w:jc w:val="center"/>
      </w:pPr>
      <w:r>
        <w:rPr>
          <w:sz w:val="24"/>
        </w:rPr>
      </w:r>
    </w:p>
    <w:tbl>
      <w:tblPr>
        <w:tblInd w:w="0" w:type="dxa"/>
        <w:tblLayout w:type="fixed"/>
        <w:tblBorders>
          <w:insideH w:val="single" w:sz="4"/>
        </w:tblBorders>
        <w:tblCellMar>
          <w:top w:w="102" w:type="dxa"/>
          <w:left w:w="62" w:type="dxa"/>
          <w:bottom w:w="102" w:type="dxa"/>
          <w:right w:w="62" w:type="dxa"/>
        </w:tblCellMar>
      </w:tblPr>
      <w:tblGrid>
        <w:gridCol w:w="1757"/>
        <w:gridCol w:w="340"/>
        <w:gridCol w:w="6973"/>
      </w:tblGrid>
      <w:tr>
        <w:tc>
          <w:tcPr>
            <w:tcW w:w="1757" w:type="dxa"/>
            <w:tcBorders>
              <w:top w:val="nil"/>
              <w:left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6973" w:type="dxa"/>
            <w:tcBorders>
              <w:top w:val="nil"/>
              <w:left w:val="nil"/>
              <w:right w:val="nil"/>
            </w:tcBorders>
          </w:tcPr>
          <w:p>
            <w:pPr>
              <w:pStyle w:val="0"/>
            </w:pPr>
            <w:r>
              <w:rPr>
                <w:sz w:val="24"/>
              </w:rPr>
            </w:r>
          </w:p>
        </w:tc>
      </w:tr>
      <w:tr>
        <w:tc>
          <w:tcPr>
            <w:tcW w:w="1757" w:type="dxa"/>
            <w:tcBorders>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center"/>
            </w:pPr>
            <w:r>
              <w:rPr>
                <w:sz w:val="24"/>
              </w:rPr>
            </w:r>
          </w:p>
        </w:tc>
        <w:tc>
          <w:tcPr>
            <w:tcW w:w="6973" w:type="dxa"/>
            <w:tcBorders>
              <w:left w:val="nil"/>
              <w:bottom w:val="nil"/>
              <w:right w:val="nil"/>
            </w:tcBorders>
          </w:tcPr>
          <w:p>
            <w:pPr>
              <w:pStyle w:val="0"/>
              <w:jc w:val="center"/>
            </w:pPr>
            <w:r>
              <w:rPr>
                <w:sz w:val="24"/>
              </w:rPr>
              <w:t xml:space="preserve">(фамилия, имя, отчество (при наличии) должностного лица военного комиссариата муниципального образования (муниципальных образований), или территориального органа Министерства внутренних дел Российской Федерации на региональном уровне, или территориального органа безопасности)</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12.06.2025 N 891</w:t>
            <w:br/>
            <w:t>"Об утверждении Правил назначения и осуществления единовременной выпл...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0497&amp;date=17.06.2025&amp;dst=100015&amp;field=134&amp;demo=2" TargetMode = "External"/>
	<Relationship Id="rId8" Type="http://schemas.openxmlformats.org/officeDocument/2006/relationships/hyperlink" Target="https://login.consultant.ru/link/?req=doc&amp;base=LAW&amp;n=500497&amp;date=17.06.2025&amp;demo=2" TargetMode = "External"/>
	<Relationship Id="rId9" Type="http://schemas.openxmlformats.org/officeDocument/2006/relationships/hyperlink" Target="https://login.consultant.ru/link/?req=doc&amp;base=LAW&amp;n=479793&amp;date=17.06.2025&amp;demo=2" TargetMode = "External"/>
	<Relationship Id="rId10" Type="http://schemas.openxmlformats.org/officeDocument/2006/relationships/hyperlink" Target="https://login.consultant.ru/link/?req=doc&amp;base=LAW&amp;n=480752&amp;date=17.06.2025&amp;demo=2" TargetMode = "External"/>
	<Relationship Id="rId11" Type="http://schemas.openxmlformats.org/officeDocument/2006/relationships/hyperlink" Target="https://login.consultant.ru/link/?req=doc&amp;base=LAW&amp;n=480752&amp;date=17.06.2025&amp;dst=17&amp;field=134&amp;demo=2" TargetMode = "External"/>
	<Relationship Id="rId12" Type="http://schemas.openxmlformats.org/officeDocument/2006/relationships/hyperlink" Target="https://login.consultant.ru/link/?req=doc&amp;base=LAW&amp;n=480752&amp;date=17.06.2025&amp;dst=21&amp;field=134&amp;demo=2" TargetMode = "External"/>
	<Relationship Id="rId13" Type="http://schemas.openxmlformats.org/officeDocument/2006/relationships/hyperlink" Target="https://login.consultant.ru/link/?req=doc&amp;base=LAW&amp;n=494439&amp;date=17.06.2025&amp;demo=2" TargetMode = "External"/>
	<Relationship Id="rId14" Type="http://schemas.openxmlformats.org/officeDocument/2006/relationships/hyperlink" Target="https://login.consultant.ru/link/?req=doc&amp;base=LAW&amp;n=482656&amp;date=17.06.2025&amp;dst=100164&amp;field=134&amp;demo=2" TargetMode = "External"/>
	<Relationship Id="rId15" Type="http://schemas.openxmlformats.org/officeDocument/2006/relationships/hyperlink" Target="https://login.consultant.ru/link/?req=doc&amp;base=LAW&amp;n=480752&amp;date=17.06.2025&amp;dst=17&amp;field=134&amp;demo=2" TargetMode = "External"/>
	<Relationship Id="rId16" Type="http://schemas.openxmlformats.org/officeDocument/2006/relationships/hyperlink" Target="https://login.consultant.ru/link/?req=doc&amp;base=LAW&amp;n=480752&amp;date=17.06.2025&amp;dst=21&amp;field=134&amp;demo=2" TargetMode = "External"/>
	<Relationship Id="rId17" Type="http://schemas.openxmlformats.org/officeDocument/2006/relationships/hyperlink" Target="https://login.consultant.ru/link/?req=doc&amp;base=LAW&amp;n=481288&amp;date=17.06.2025&amp;dst=6&amp;field=134&amp;demo=2" TargetMode = "External"/>
	<Relationship Id="rId18" Type="http://schemas.openxmlformats.org/officeDocument/2006/relationships/hyperlink" Target="https://login.consultant.ru/link/?req=doc&amp;base=LAW&amp;n=482656&amp;date=17.06.2025&amp;dst=100164&amp;field=134&amp;demo=2" TargetMode = "External"/>
	<Relationship Id="rId19" Type="http://schemas.openxmlformats.org/officeDocument/2006/relationships/hyperlink" Target="https://login.consultant.ru/link/?req=doc&amp;base=LAW&amp;n=500029&amp;date=17.06.2025&amp;dst=100214&amp;field=134&amp;demo=2" TargetMode = "External"/>
	<Relationship Id="rId20" Type="http://schemas.openxmlformats.org/officeDocument/2006/relationships/hyperlink" Target="https://login.consultant.ru/link/?req=doc&amp;base=LAW&amp;n=500497&amp;date=17.06.2025&amp;dst=100012&amp;field=134&amp;demo=2" TargetMode = "External"/>
	<Relationship Id="rId21" Type="http://schemas.openxmlformats.org/officeDocument/2006/relationships/hyperlink" Target="https://login.consultant.ru/link/?req=doc&amp;base=LAW&amp;n=500497&amp;date=17.06.2025&amp;dst=100013&amp;field=134&amp;demo=2" TargetMode = "External"/>
	<Relationship Id="rId22" Type="http://schemas.openxmlformats.org/officeDocument/2006/relationships/hyperlink" Target="https://login.consultant.ru/link/?req=doc&amp;base=LAW&amp;n=500497&amp;date=17.06.2025&amp;demo=2" TargetMode = "External"/>
	<Relationship Id="rId23" Type="http://schemas.openxmlformats.org/officeDocument/2006/relationships/image" Target="media/image2.wmf"/>
	<Relationship Id="rId24" Type="http://schemas.openxmlformats.org/officeDocument/2006/relationships/hyperlink" Target="https://login.consultant.ru/link/?req=doc&amp;base=LAW&amp;n=494439&amp;date=17.06.2025&amp;demo=2" TargetMode = "External"/>
	<Relationship Id="rId25" Type="http://schemas.openxmlformats.org/officeDocument/2006/relationships/hyperlink" Target="https://login.consultant.ru/link/?req=doc&amp;base=LAW&amp;n=480752&amp;date=17.06.2025&amp;demo=2" TargetMode = "External"/>
	<Relationship Id="rId26" Type="http://schemas.openxmlformats.org/officeDocument/2006/relationships/hyperlink" Target="https://login.consultant.ru/link/?req=doc&amp;base=LAW&amp;n=482656&amp;date=17.06.2025&amp;demo=2" TargetMode = "External"/>
	<Relationship Id="rId27" Type="http://schemas.openxmlformats.org/officeDocument/2006/relationships/hyperlink" Target="https://login.consultant.ru/link/?req=doc&amp;base=LAW&amp;n=481288&amp;date=17.06.2025&amp;demo=2" TargetMode = "External"/>
	<Relationship Id="rId28" Type="http://schemas.openxmlformats.org/officeDocument/2006/relationships/hyperlink" Target="https://login.consultant.ru/link/?req=doc&amp;base=LAW&amp;n=500029&amp;date=17.06.2025&amp;demo=2" TargetMode = "External"/>
	<Relationship Id="rId29" Type="http://schemas.openxmlformats.org/officeDocument/2006/relationships/hyperlink" Target="https://login.consultant.ru/link/?req=doc&amp;base=LAW&amp;n=500497&amp;date=17.06.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12.06.2025 N 891
"Об утверждении Правил назначения и осуществления единовременной выплаты, установленной Указом Президента Российской Федерации от 10 марта 2025 г. N 137 "О дополнительных социальных гарантиях отдельным категориям граждан Российской Федерации"</dc:title>
  <dcterms:created xsi:type="dcterms:W3CDTF">2025-06-17T16:04:39Z</dcterms:created>
</cp:coreProperties>
</file>