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23.05.2025 N 322н</w:t>
              <w:br/>
              <w:t xml:space="preserve">"Об утверждении Стандарта оказания услуги по социально-психологической реабилитации и абилитации инвалидов"</w:t>
              <w:br/>
              <w:t xml:space="preserve">(Зарегистрировано в Минюсте России 23.06.2025 N 82694)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июня 2025 г. N 82694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23 мая 2025 г. N 322н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СОЦИАЛЬНО-ПСИХОЛОГИЧЕСКОЙ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9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социально-психологической реабилитации и абилитации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мая 2025 г. N 322н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СОЦИАЛЬНО-ПСИХОЛОГИЧЕСКОЙ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социально-психологической реабилитации и абилитации инвалидов (далее соответственно - стандарт, услуга) определяет основные требования к содержанию, объему, периодичности и качеству оказания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2024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(зарегистрирован Министерством юстиции Российской Федерации 30 августа 2024 г., регистрационный N 79347);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 Российской Федерации" (зарегистрирован Министерством юстиции Российской Федерации 4 февраля 2025 г., регистрационный N 81142).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Термины и определения: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вспомогательные средства - любые изделия (в том числе устройства, оборудование, инструменты и программное обеспечение), специально разработанные и изготовленные или серийные, основное назначение которых заключается в поддержании или улучшении жизнедеятельности или самостоятельности личности и облегчения улучшения участия в любых проявлениях (для защиты, поддержки, тренировки, обучения, измерения или замены функций, структур и видов деятельности тела, а также для предотвращения предотвратимых повреждений, ограничений активности и участия)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Приложение B</w:t>
        </w:r>
      </w:hyperlink>
      <w:r>
        <w:rPr>
          <w:sz w:val="24"/>
        </w:rPr>
        <w:t xml:space="preserve"> (справочное) ГОСТ Р ИСО 9999-2019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введенный в действие </w:t>
      </w:r>
      <w:hyperlink w:history="0" r:id="rId16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технические средства реабилитации -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11.1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АДК - альтернативная и дополнительная коммуникация (общение с использованием взгляда, мимики, жеста, предмета, графического изображения, знаковой системы, специальных технических приспособлений);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ВПФ - высшие психические функции;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диапазонный показатель - нижние и верхние границы объема мероприятий, входящих в состав услуги, при этом количество запланированных мероприятий, входящих в состав услуги, не должно выходить за границы диапазонного показателя;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- реабилитационное мероприятие, которое заключается в предоставлении инвалиду информации по вопросам социально-психологической реабилитации и абилитации, включая изложение целей, задач, содержания мероприятий по социально-психологической реабилитации инвалидов, ожидаемых результатах; об организациях, реализующих мероприятия по социально-психологической реабилитации и другое, с целью повышения уровня осведомленности инвалида, касающейся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инвалида - индивидуальная программа реабилитации или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конкретная цель реабилитации и абилитации - формирование, восстановление или компенсация параметров психофизиологического функционирования, обуславливающих ОЖД (ограничение способности к самообслуживанию, способности к общению, способности к ориентации, способности к обучению, способности к самостоятельному передвижению, способности контролировать свое поведение, способности к трудовой деятельности). Определяется реабилитационной организацией при проведении социально-психологической диагностики первичной (входящей) на курс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(социальное-психологическое) - реабилитационное мероприятие в формате индивидуальной беседы с инвалидом в целях разрешения его психологических проблем, в том числе обусловленных инвалидностью, в различных сферах: межличностных и семейных отношений, профессиональной самореализации, дезадаптивных психоэмоциональных состояний и другое;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курс реабилитации - определенный период времени, в течение которого реализуется комплекс реабилитационных мероприятий, составляющий услугу по реабилитации и 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МКФ - международная классификация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единица, объединяющая специалистов по реабилитации и абилитации медицинского и немедицинского профиля (врачи и средний медицинский персонал, психологи, педагоги, специалисты по социальной работе по адаптивной физической культуре и другие) для оказания инвалидам реабилитационных (абилитационных) услуг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общая цель реабилитации и абилитации - наиболее полное восстановление или компенсация утраченных возможностей организма (ограничений жизнедеятельности). Определяется в ходе проведения медико-социальной экспертизы;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и, наличие которых в реабилитационной организации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ОЖД - ограничения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эффективности - определение уровня социального (социально-психологического) статуса активности и участия инвалида, достигнутого в результате реализации реабилитационных (абилитационных) мероприятий за курс реабилитации по отношению к исходному;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практические занятия (психологическая коррекция) - реабилитационное мероприятие в индивидуальном и групповом формате, направленное на коррекцию (восстановление, формирование, развитие) высших психических функций, личностных качеств, характера межличностных взаимодействий, поведения и эмоций посредством психологических, пато- или нейрокоррекционных методик, психотерапевтических практик, а также аппаратно-программных методов;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 - полустационарная форма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психологический тренинг - реабилитационное мероприятие, которое как групповая форма активного обучения направлено на формирование и (или) отработку психологических навыков и перепрограммирование имеющейся модели управления поведением и деятельностью в целях достижения адаптивного социального функционирования;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ПТСР - посттравматическое стрессовое расстройство;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(абилитационная) карта - унифицированная форма, содержащая сведения об инвалиде, результаты его диагностики, социальные статусы, информацию о количестве планируемых и проведенных реабилитационных мероприятий (реабилитационном маршруте), применяемых методах и методиках, реабилитационном оборудовании, а также оценку эффективности курса реабилитации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8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реабилитационная (абилитационная) услуга - комплекс мероприятий по одному из направлений комплексной реабилитации или абилитации инвалидов, направленный на восстановление (формирование) или компенсацию способностей инвалида (ребенка-инвалида) к бытовой, общественной, профессиональной и иной деятельности в целях достижения социальной адаптации и интеграции;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мероприятие - действие (действия) по одному из направлений комплексной реабилитации или абилитации инвалидов, направленное на восстановление (формирование) или компенсацию способностей инвалида к бытовой, общественной, профессиональной и иной деятельности в целях достижения социальной адаптации и интеграции;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устройства (технические средства реабилитации, вспомогательные средства, в том числе приборы, аппаратура, приспособления), используемые при выполнении действий по предоставлению реабилитационных (абилитационных)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реабилитационный маршрут - индивидуальный план, разработанный по результатам социально-психологической диагностики первичной (входящей), включающий количественное распределение мероприятий в рамках оказания услуги и специалистов, их реализующих. Информация по реабилитационному маршруту заносится в реабилитационную (абилитационную) карту;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приверженность - психологическая направленность инвалида на реабилитацию, активность и участие в социальном восстановлении в различных сферах жизнедеятельности (в быту, в межличностном общении, в труде, обучении, социокультурной среде и так далее);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реабилитационный эффект - динамические изменения в состоянии социального (социально-психологического) статуса инвалида (его активности и участия) после получения услуги по социально-психологической реабилитации и абилитации, определяемые путем сопоставления актуального состояния до начала курса реабилитации и после его завершения по категориям Международной классификации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их наличие способствует повышению качества оказания услуги, но не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- стационарная форма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- мероприятие, направленное на оценку социально-психологического статуса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первичная (входящая) - реабилитационное мероприятие, направленное на исследование психической деятельности инвалида с целью выявления нарушений высших психических функций, нейродинамических, эмоционально-волевых и личностных особенностей, с применением валидных и апробированных методов диагностики (пато- или нейропсихологических методик, личностных тестов и аппаратно-программных методов), для постановки конкретной цели реабилитации и абилитации на курс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повторная (контрольная) - реабилитационное мероприятие по окончании курса реабилитации, направленное на исследование психической деятельности инвалида с целью определения динамических изменений оцениваемых показателей, влияющих на достижение цели реабилитации (высших психических функций, нейродинамических, эмоционально-волевых и личностных особенностей), с применением валидных и апробированных методов диагностики (пато- или нейропсихологических методик, личностных тестов и аппаратно-программных методов), используемых при проведении входящей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социально-психологический статус инвалида - характеристика актуального состояния высших психических функций, эмоционально-волевых и личностных характеристик, обеспечивающих реабилитационную приверженность инвалида к реализации жизнедеятельности в различных сферах (межличностной, трудовой, социокультурной и другим);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социально-психологическое просвещение - реабилитационное мероприятие, направленное на повышение реабилитационной компетентности и реабилитационной приверженности в целом у инвалида и его семьи с целью социальной адаптации и интеграции инвалида в общество. Проведение мероприятия предполагает тематические вебинары, лекции, распространение тематических информационных брошюр, раздаточного материала и другое;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обучению - способность к целенаправленному процессу организации деятельности по овладению знаниями, умениями, навыками и компетенцией, приобретению опыта деятельности (в том числе профессионального, социального, культурного, бытового характера), развитию способностей, приобретению опыта применения знаний в повседневной жизни и формированию мотивации получения образования в течение всей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общению - способность к установлению контактов между людьми путем восприятия, переработки, хранения, воспроизведения и передачи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ориентации - способность к адекватному восприятию личности и окружающей обстановки, оценке ситуации, к определению времени и места нахождения;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самообслуживанию - способность человека самостоятельно осуществлять основные физиологические потребности, выполнять повседневную бытовую деятельность, в том числе использовать навыки личной гигиены;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самостоятельному передвижению - способность самостоятельно перемещаться в пространстве, сохранять равновесие тела при передвижении, в покое и при перемене положения тела, пользоваться общественным транспортом;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трудовой деятельности - способность осуществлять трудовую деятельность в соответствии с требованиями к содержанию, объему, качеству и условиям выполнения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контролировать свое поведение - способность к осознанию себя и адекватному поведению с учетом социально-правовых и морально-этических норм;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целевые реабилитационные группы инвалидов (группы инвалидов, объединенные в зависимости от структуры и степени нарушенных функций организма и ограничений жизнедеятельности в целях использования наиболее эффективных подходов к устранению или компенсации нарушений этих функций и ограничений жизнедеятельности при оказании услуг по основным направлениям комплексной реабилитации 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Наименование ЦРГ инвалидов, в отношении которых применяется стандарт: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1 - инвалиды с преимущественными нарушениями психических функций;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1.1 - инвалиды вследствие нарушений интеллектуального развития;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1.2 - инвалиды вследствие расстройств аутистического спектра;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1.3 - инвалиды вследствие экзогенно-органических расстройств, а также эпизодических и пароксизмальных расстройств;</w:t>
      </w:r>
    </w:p>
    <w:bookmarkStart w:id="104" w:name="P104"/>
    <w:bookmarkEnd w:id="1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1.4 - инвалиды вследствие эндогенных, аффективных, невротических и соматоформных расстройств;</w:t>
      </w:r>
    </w:p>
    <w:bookmarkStart w:id="105" w:name="P105"/>
    <w:bookmarkEnd w:id="1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2 - инвалиды с преимущественными нарушениями языковых и речевых функций;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3 - инвалиды с преимущественными нарушениями сенсорных функций;</w:t>
      </w:r>
    </w:p>
    <w:bookmarkStart w:id="107" w:name="P107"/>
    <w:bookmarkEnd w:id="1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3.1 - инвалиды вследствие слепоты или слабовидения;</w:t>
      </w:r>
    </w:p>
    <w:bookmarkStart w:id="108" w:name="P108"/>
    <w:bookmarkEnd w:id="10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3.2 - инвалиды вследствие глухоты или слабослышания;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3.3 - инвалиды вследствие сочетанных нарушений функций зрения и слуха;</w:t>
      </w:r>
    </w:p>
    <w:bookmarkStart w:id="110" w:name="P110"/>
    <w:bookmarkEnd w:id="1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4 - инвалиды с преимущественными нарушениями нейромышечных, скелетных и связанных с движением (статодинамических) функций;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4.2 - инвалиды вследствие заболеваний костно-мышечной системы, а также последствий травм и аномалий (пороков развития), деформаций опорно-двигательного аппарата;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4.3 - инвалиды вследствие врожденного или приобретенного отсутствия одной верхней конечности;</w:t>
      </w:r>
    </w:p>
    <w:bookmarkStart w:id="114" w:name="P114"/>
    <w:bookmarkEnd w:id="11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4.4 - инвалиды вследствие врожденного или приобретенного отсутствия обеих верхних конечностей;</w:t>
      </w:r>
    </w:p>
    <w:bookmarkStart w:id="115" w:name="P115"/>
    <w:bookmarkEnd w:id="1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4.5 - инвалиды вследствие врожденного или приобретенного отсутствия одной нижней конечности;</w:t>
      </w:r>
    </w:p>
    <w:bookmarkStart w:id="116" w:name="P116"/>
    <w:bookmarkEnd w:id="11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4.6 - инвалиды вследствие врожденного или приобретенного отсутствия обеих нижних конечностей;</w:t>
      </w:r>
    </w:p>
    <w:bookmarkStart w:id="117" w:name="P117"/>
    <w:bookmarkEnd w:id="1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4.7 - инвалиды вследствие спинальной травмы и связанных с ней повреждений спинного мозга;</w:t>
      </w:r>
    </w:p>
    <w:bookmarkStart w:id="118" w:name="P118"/>
    <w:bookmarkEnd w:id="1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5 - инвалиды с преимущественными нарушениями функций сердечно-сосудистой и (или) дыхательной системы (систем);</w:t>
      </w:r>
    </w:p>
    <w:bookmarkStart w:id="119" w:name="P119"/>
    <w:bookmarkEnd w:id="1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6 - инвалиды с преимущественными нарушениями функций пищеварительной и (или) эндокринной системы (систем) и метаболизма;</w:t>
      </w:r>
    </w:p>
    <w:bookmarkStart w:id="120" w:name="P120"/>
    <w:bookmarkEnd w:id="12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8 - инвалиды с преимущественными нарушениями мочевыделительной функции;</w:t>
      </w:r>
    </w:p>
    <w:bookmarkStart w:id="122" w:name="P122"/>
    <w:bookmarkEnd w:id="12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9 - инвалиды с преимущественными нарушениями функций кожи и связанных с ней систем;</w:t>
      </w:r>
    </w:p>
    <w:bookmarkStart w:id="123" w:name="P123"/>
    <w:bookmarkEnd w:id="12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10 - инвалиды со сложными и (или) множественными нарушениями функций организма, обусловленными хромосомными и генными болезнями;</w:t>
      </w:r>
    </w:p>
    <w:bookmarkStart w:id="124" w:name="P124"/>
    <w:bookmarkEnd w:id="12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11 - инвалиды с врожденными или приобретенными деформациями (аномалиями развития), последствиями травм лица.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Форма оказания услуги: стационарная; полустационарная; на дому, в том числе дистанционно с применением информационно-телекоммуникационных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Форма оказания услуги определяется реабилитационной организацией с учетом нарушений функций организма инвалида, а также условий территориальной и транспортной доступности для него.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Общими требованиями к выбору формы оказания услуги являются следующие: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стационарной форме (в условиях круглосуточного пребывания, в том числе с сопровождающим лицом) оказывается инвалидам, имеющим ограничения 2 или 3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и (или) при отсутствии возможности у инвалида получить услугу в других формах (полустационарной, на дому);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полустационарной форме (в условиях пребывания в определенное время суток или в условиях дневного стационара, в том числе с сопровождающим лицом) оказывается инвалидам, имеющим ограничения 1 или 2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а также при условии возможности посещения инвалидом реабилитационной организации (с учетом территориальной и транспортной 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на дому, в том числе дистанционно с применением информационно-телекоммуникационных технологий (далее - на дому).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Рекомендуемыми показаниями для оказания услуги на дому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3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при невозможности получения услуги в иных формах ввиду тяжести состояния здоровья (стационарной, полустационарной);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1 или 2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при невозможности получения услуги в иных формах (в том числе по причине территориальной и транспортной недоступности).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Услуга оказывается при наличии соответствующих рекомендаций в ИПРА инвалида, разрабатываемой федеральными учреждениями МСЭ.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Реабилитационная организация, предоставляющая услугу, должна иметь необходимый состав специалистов и реабилитационного оборудования, предусмотренный стандартом, с учетом ЦРГ (</w:t>
      </w:r>
      <w:hyperlink w:history="0" w:anchor="P185" w:tooltip="Раздел IV. Перечень специалистов, привлекаемых к реализации">
        <w:r>
          <w:rPr>
            <w:sz w:val="24"/>
            <w:color w:val="0000ff"/>
          </w:rPr>
          <w:t xml:space="preserve">Раздел IV</w:t>
        </w:r>
      </w:hyperlink>
      <w:r>
        <w:rPr>
          <w:sz w:val="24"/>
        </w:rPr>
        <w:t xml:space="preserve">, </w:t>
      </w:r>
      <w:hyperlink w:history="0" w:anchor="P641" w:tooltip="Раздел VIII. Примерный перечень необходимого">
        <w:r>
          <w:rPr>
            <w:sz w:val="24"/>
            <w:color w:val="0000ff"/>
          </w:rPr>
          <w:t xml:space="preserve">Раздел VIII</w:t>
        </w:r>
      </w:hyperlink>
      <w:r>
        <w:rPr>
          <w:sz w:val="24"/>
        </w:rPr>
        <w:t xml:space="preserve"> стандарта).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изолировано (как самостоятельная услуга в случае определения федеральными учреждениями МСЭ нуждаемости только в социально-психологической реабилитации и абилитации и наличии соответствующей рекомендации в ИПРА инвалида) или комплексно с услугами других реабилитационных направлений (медицинская реабилитация, протезно-ортопедическая помощь, профессиональная, социокультурная реабилитация и абилитация, физическая реабилитация и абилитация с использованием средств физической культуры и спорта) при определении в ИПРА инвалида нуждаемости в других услугах.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целях повышения эффективности услуга может предоставляться в комплексе с иными видами деятельности реабилитационных организаций, предусмотренными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Получателем мероприятий, входящих в состав услуги, является инвалид. При наличии у инвалида значительно выраженных нарушений функций организма (при необходимости) часть мероприятий обучающего и информационного характера можно оказывать сопровождающему инвалида члену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Содержание мероприятий, входящих в состав услуги, одинаково для всех ЦРГ ввиду особенностей самой услуги, показаниями для которой являются ОЖД всех категорий &lt;4&gt;. Особенности каждой ЦРГ учтены при использовании методов, методик, реабилитационного оборудования и отражены в диапазонном показателе количества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9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Услуга оказывается междисциплинарной командой, в состав которой входят обязательные и рекомендуемые специалисты, определенные стандартом для каждой конкретной ЦРГ в </w:t>
      </w:r>
      <w:hyperlink w:history="0" w:anchor="P185" w:tooltip="Раздел IV. Перечень специалистов, привлекаемых к реализации">
        <w:r>
          <w:rPr>
            <w:sz w:val="24"/>
            <w:color w:val="0000ff"/>
          </w:rPr>
          <w:t xml:space="preserve">Разделе IV</w:t>
        </w:r>
      </w:hyperlink>
      <w:r>
        <w:rPr>
          <w:sz w:val="24"/>
        </w:rPr>
        <w:t xml:space="preserve"> стандарта (при перечислении в перечне должностей специалистов через слеш (/) допустимо наличие в организации минимум одной из перечисленных должностей). Один и тот же специалист междисциплинарной команды может оказывать услугу инвалидам нескольких ЦРГ.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Для оказания услуги инвалидам реабилитационная организация должна быть оснащена необходимым реабилитационным оборудованием в соответствии с положениями </w:t>
      </w:r>
      <w:hyperlink w:history="0" r:id="rId20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&lt;5&gt;. Примерный перечень необходимого реабилитационного оборудования (вспомогательных средств и технических средств реабилитации) указан в </w:t>
      </w:r>
      <w:hyperlink w:history="0" w:anchor="P641" w:tooltip="Раздел VIII. Примерный перечень необходимого">
        <w:r>
          <w:rPr>
            <w:sz w:val="24"/>
            <w:color w:val="0000ff"/>
          </w:rPr>
          <w:t xml:space="preserve">Разделе VIII</w:t>
        </w:r>
      </w:hyperlink>
      <w:r>
        <w:rPr>
          <w:sz w:val="24"/>
        </w:rPr>
        <w:t xml:space="preserve"> стандарта и включает наименования вспомогательных средств с указанием кода по </w:t>
      </w:r>
      <w:hyperlink w:history="0" r:id="rId2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 Р ИСО 9999-2019</w:t>
        </w:r>
      </w:hyperlink>
      <w:r>
        <w:rPr>
          <w:sz w:val="24"/>
        </w:rPr>
        <w:t xml:space="preserve">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22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586-ст. (М.: Стандартинформ, 2019; далее - ГОСТ-9999), и цели его использования. При выборе реабилитационного оборудования реабилитационная организация может использовать вариативность в рамках указанных позиций вспомогательных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3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(зарегистрирован Министерством юстиции Российской Федерации 30 августа 2024 г., регистрационный N 79347) (далее - приказ N 385н).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Примерный перечень вспомогательных средств представлен максимальным числом позиций в соответствии с Типовым положением о многопрофильной организации для инвалидов и (или) детей-инвалидов (</w:t>
      </w:r>
      <w:hyperlink w:history="0" r:id="rId24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приказу N 385н) и для реабилитационных организаций профильного типа требуется выбор из представленного списка только необходимых позиций, указанных в </w:t>
      </w:r>
      <w:hyperlink w:history="0" r:id="rId25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приказу N 385н.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При оказании услуги необходимо учитывать состояние здоровья инвалида, медицинские противопоказания, определяемые нормативным правовым регулированием в сфере охраны здоровья граждан и социального обслуживания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противопоказаний по запросу инвалида часть мероприятий, не требующих личного присутствия специалистов, может предоставляться в дистанционном формате с использованием телекоммуникационных технологий (информирование, консультирование, практические занятия, просвещение).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отказа инвалида от получения услуги, обоснованного состояниям здоровья, предоставление курса реабилитации может быть перенесено на другой период времени по согласованию с получателем услуги, в рамках срока действия ИПРА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При оказании услуги должны быть соблюдены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инвалида, с учетом общей цели реабилитации и 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привлечение сопровождающих (членов семьи) производится по заявлению инвалида с указанием конкретного лица, которое будет осуществлять уход и являться сопровождающим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проведении социально-психологической диагностики специалист оценивает степень ограничений в категориях доменов МКФ "Функции организма", "Активность и участие", косвенно (либо напрямую) обусловливающих ограничения в основных категориях жизнедеятельности ("способность к самообслуживанию", "способность к самостоятельному передвижению", "способность к общению", "способность к ориентации", "способность контролировать свое поведение", "способность к обучению", "способность к трудовой деятельности") в соответствии с протоколом, представленным в </w:t>
      </w:r>
      <w:hyperlink w:history="0" w:anchor="P1342" w:tooltip="26. Протокол оценки эффективности проведенного курса социально-психологической реабилитации и абилитации.">
        <w:r>
          <w:rPr>
            <w:sz w:val="24"/>
            <w:color w:val="0000ff"/>
          </w:rPr>
          <w:t xml:space="preserve">пункте 26 Раздела X</w:t>
        </w:r>
      </w:hyperlink>
      <w:r>
        <w:rPr>
          <w:sz w:val="24"/>
        </w:rPr>
        <w:t xml:space="preserve">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постановка целей реабилитации и абилитации при оказании услуги осуществляется специалистами междисциплинарной команды; конкретные цели реабилитации и абилитации формируются по каждому отдельному мероприятию. Специалист обязан проинформировать инвалида о целях, задачах, содержании и ожидаемых результатах мероприятия;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планирование количества мероприятий, входящих в состав услуги, основывается на актуальной индивидуальной потребности инвалида в данном мероприятии, но не может быть меньше минимального количества мероприятий и больше максимального количества, отраженного в диапазонном показателе для каждой конкретной ЦРГ (</w:t>
      </w:r>
      <w:hyperlink w:history="0" w:anchor="P429" w:tooltip="24. Показатели кратности реабилитационных мероприятий социально-психологической реабилитации и абилитации в соответствии с ЦРГ инвалида">
        <w:r>
          <w:rPr>
            <w:sz w:val="24"/>
            <w:color w:val="0000ff"/>
          </w:rPr>
          <w:t xml:space="preserve">пункт 24 Раздела VII</w:t>
        </w:r>
      </w:hyperlink>
      <w:r>
        <w:rPr>
          <w:sz w:val="24"/>
        </w:rPr>
        <w:t xml:space="preserve"> стандарта);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каждого инвалида ведется реабилитационная (абилитационная) </w:t>
      </w:r>
      <w:hyperlink w:history="0" r:id="rId26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карта</w:t>
        </w:r>
      </w:hyperlink>
      <w:r>
        <w:rPr>
          <w:sz w:val="24"/>
        </w:rPr>
        <w:t xml:space="preserve"> &lt;6&gt; проведения мероприятий по основным направлениям комплексной реабилитации и абилитации инвалида и иная документация;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7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реабилитационная организация не может отказать инвалиду в оказании мероприятий, входящих в состав услуги (социально-психологическая диагностика, информирование, консультирование, практические занятия, тренинги, просвещение), все мероприятия оказываются комплексно, за исключением отказа самого инвалида от того или иного мероприятия, входящего в состав услуги, или их объема;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продолжительность мероприятий, входящих в состав услуги, не может быть меньше минимального времени, указанного в стандарте (</w:t>
      </w:r>
      <w:hyperlink w:history="0" w:anchor="P405" w:tooltip="23. Показатели продолжительности реабилитационных мероприятий социально-психологической реабилитации и абилитации">
        <w:r>
          <w:rPr>
            <w:sz w:val="24"/>
            <w:color w:val="0000ff"/>
          </w:rPr>
          <w:t xml:space="preserve">пункт 23 Раздела VII</w:t>
        </w:r>
      </w:hyperlink>
      <w:r>
        <w:rPr>
          <w:sz w:val="24"/>
        </w:rPr>
        <w:t xml:space="preserve"> стандарта);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использовании реабилитационного оборудования и методов (технологий и методик) реабилитационная организация должна учитывать форму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оказания услуги проводится оценка эффективности реабилитации и абилитации в соответствии с </w:t>
      </w:r>
      <w:hyperlink w:history="0" w:anchor="P1244" w:tooltip="Раздел X. Показатели качества и оценка результатов">
        <w:r>
          <w:rPr>
            <w:sz w:val="24"/>
            <w:color w:val="0000ff"/>
          </w:rPr>
          <w:t xml:space="preserve">Разделом X</w:t>
        </w:r>
      </w:hyperlink>
      <w:r>
        <w:rPr>
          <w:sz w:val="24"/>
        </w:rPr>
        <w:t xml:space="preserve">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инвалиду выдается заключение по итогам социально-психологической реабилитации и абилитации с рекомендациями;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 вправе отказаться от того или иного мероприятия, входящего в состав услуги, или их объема.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При предоставлении услуги организация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использования ассистивных (вспомогательных) технологий и АДК;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предоставления во временное пользование ТСР коллективного и индивидуального использования, в том числе предоставления кресла-коляски во временное пользование;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на территорию и объекты организации,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мероприятий (при необходимости и согласии инвалида);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условия доступности для инвалидов объектов социальной, инженерной и транспортной инфраструктуры и предоставляемого комплекса мероприятий и услуг по основным направлениям комплексной реабилитации и абилитации, а также оказания при необходимости помощи в соответствии со </w:t>
      </w:r>
      <w:hyperlink w:history="0" r:id="rId2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Реабилитационная организация предоставляет в доступной для получателей услуги форме, в том числе посредством размещения на своем сайте (при его наличии) и на информационных стендах (стойках),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 и индивидуальный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об осуществляемой деятельности по оказанию услуги и целевой реабилитационной группе (целевым реабилитационным группам).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При формировании информации об услуге в информационно-телекоммуникационной сети "Интернет" должны быть учтены требования </w:t>
      </w:r>
      <w:hyperlink w:history="0" r:id="rId29" w:tooltip="&quot;ГОСТ Р 52872-2019. Национальный стандарт Российской Федерации. Интернет-ресурсы и другая информация, представленная в электронно-цифровой форме. Приложения для стационарных и мобильных устройств, иные пользовательские интерфейсы. Требования доступности для людей с инвалидностью и других лиц с ограничениями жизнедеятельности&quot; (утв. и введен в действие Приказом Росстандарта от 29.08.2019 N 589-ст) {КонсультантПлюс}">
        <w:r>
          <w:rPr>
            <w:sz w:val="24"/>
            <w:color w:val="0000ff"/>
          </w:rPr>
          <w:t xml:space="preserve">ГОСТ Р 52872-2019</w:t>
        </w:r>
      </w:hyperlink>
      <w:r>
        <w:rPr>
          <w:sz w:val="24"/>
        </w:rPr>
        <w:t xml:space="preserve"> "Национальный стандарт Российской Федерации. Интернет-ресурсы и другая информация, представленная в электронно-цифровой форме. Приложения для стационарных и мобильных устройств, иные пользовательские интерфейсы. Требования доступности для людей с инвалидностью и других лиц с ограничениями жизнедеятельности", введенного в действие </w:t>
      </w:r>
      <w:hyperlink w:history="0" r:id="rId30" w:tooltip="Приказ Росстандарта от 29.08.2019 N 589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589-ст (М.: Стандартинформ, 2019).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85" w:name="P185"/>
    <w:bookmarkEnd w:id="185"/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3742"/>
        <w:gridCol w:w="3458"/>
      </w:tblGrid>
      <w:tr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специалистов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210" w:tooltip="&lt;7&gt; Перечень специалистов приведен с учетом положений приказа N 385н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аудитория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;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  <w:r>
              <w:rPr>
                <w:sz w:val="24"/>
              </w:rPr>
              <w:t xml:space="preserve">;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Онкопсихолог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ЦРГ 7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Врач-психотерапевт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Врач-психиатр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; </w:t>
            </w:r>
            <w:hyperlink w:history="0" w:anchor="P108" w:tooltip="ЦРГ 3.2 - инвалиды вследствие глухоты или слабослышания;">
              <w:r>
                <w:rPr>
                  <w:sz w:val="24"/>
                  <w:color w:val="0000ff"/>
                </w:rPr>
                <w:t xml:space="preserve">3.2</w:t>
              </w:r>
            </w:hyperlink>
            <w:r>
              <w:rPr>
                <w:sz w:val="24"/>
              </w:rPr>
              <w:t xml:space="preserve">;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3742" w:type="dxa"/>
          </w:tcPr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  <w:tc>
          <w:tcPr>
            <w:tcW w:w="3458" w:type="dxa"/>
          </w:tcPr>
          <w:p>
            <w:pPr>
              <w:pStyle w:val="0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;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;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при необходимости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10" w:name="P210"/>
    <w:bookmarkEnd w:id="2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Перечень специалистов приведен с учетом положений </w:t>
      </w:r>
      <w:hyperlink w:history="0" r:id="rId31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2587"/>
        <w:gridCol w:w="1077"/>
        <w:gridCol w:w="2098"/>
        <w:gridCol w:w="2778"/>
      </w:tblGrid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мероприятия</w:t>
            </w:r>
          </w:p>
        </w:tc>
        <w:tc>
          <w:tcPr>
            <w:gridSpan w:val="2"/>
            <w:tcW w:w="48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диагностика: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первичная (входящая);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повторная (контрольная)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Онкопсихолог;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врач-психиатр;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индивидуально-личностное; семейное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Онкопсихолог;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(афазиолог);</w:t>
            </w:r>
          </w:p>
          <w:p>
            <w:pPr>
              <w:pStyle w:val="0"/>
            </w:pPr>
            <w:r>
              <w:rPr>
                <w:sz w:val="24"/>
              </w:rPr>
              <w:t xml:space="preserve">онкопсихолог;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Психологические тренинги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Онкопсихолог;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Онкопсихолог;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врач-психиатр;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401"/>
        <w:gridCol w:w="388"/>
        <w:gridCol w:w="6468"/>
        <w:gridCol w:w="2268"/>
      </w:tblGrid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Формат реализации мероприятия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первичная (входящая)</w:t>
            </w:r>
          </w:p>
        </w:tc>
        <w:tc>
          <w:tcPr>
            <w:gridSpan w:val="3"/>
            <w:tcW w:w="7257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анализ сведений по определению нуждаемости в мероприятиях социально-психологической реабилитации и абилитации в ИПРА инвалида, а также изучение сопровождающих документов (заключения психологов, психиатра, невролога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беседа в целях сбора социально-психологического анамнеза инвалида (с учетом доступности для инвалида диалогового взаимодействия), в том числе опрос, анкетирование (при необходимости с использованием адаптированных бланков (отрицательная контрастность, увеличенный размер шрифта и другое), а также анкет в электронно-цифровом формате при наличии специализированной компьютерной программы, клавиатуры с рельефно-точечным шрифтом Брайля (с учетом возможностей остаточного зрения инвалида);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характеристик, образа тела, реабилитационной приверженности с помощью диагностических психологических методик (в том числе пато- и нейропсихологических) и личностных тестов; при необходимости с использованием адаптированных форм диагностического материала, а также с опорой на сохранные анализаторы (тактильный, двигательный), остаточное зрение и (или) слух;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 методами аппаратно-программной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общей моторики и тонкой дифференциации движений пальцев рук нейропсихологическими методиками;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общей моторики и тонкой дифференциации движений пальцев рук методами аппаратно-программной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речевых функций (импрессивной и экспрессивной речи) у инвалида с помощью нейропсихологических методик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речевых функций (импрессивной и экспрессивной речи) у инвалида при помощи логопедических методик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коммуникативных навыков и навыков поведения в социуме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социально-психологической диагностики, которое должно содержать, в том числе: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Индивидуальный</w:t>
            </w:r>
          </w:p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социально-психологического статуса инвалида с учетом выявленных индивидуально-психологических нарушений (сохранен (сформирован), нарушен, утрачен (не сформирован);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single" w:sz="4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разработку индивидуального плана (реабилитационного маршрута) социально-психологической реабилитации и абилитации инвалида с указанием объема конкретных мероприятий, их количества, а также потребности в сопровождении реабилитационного курса услугами переводчика русского жестового языка и другое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 цели, задачах, содержании мероприятий, ожидаемых результатах социально-психологической реабилитации 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 особенностях психоэмоционального функционирования инвалида, обусловленных нарушениями психических функций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способах построения оптимального взаимодействия с инвалидом (поиск компромиссного поведения, формирование толерантного (благожелательного, принимающего) отношения, инициация общения и другое)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средствах и методах психологической поддержки инвалидов, в том числе о деятельности служб поддержки и экстренной психологической помощи посредством информационно-телекоммуникационной сети "Интернет" (чат-боты психологической поддержки; сайты и страницы в социальных сетях реабилитационных организаций, оказывающих услугу), а также "телефонов доверия" экстренной психологической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 организациях, реализующих мероприятия социально-психологической реабилитации и абилитации, а также предоставляющих курсы психообразовательных занятий для родственников инвалидов с нарушениями психических функций;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средствах и методах психологической поддержки инвалидов, в том числе о деятельности служб поддержки и экстренной психологической помощи посредством информационно-телекоммуникационной сети "Интернет" (чат-боты психологической поддержки; сайты и страницы в социальных сетях общественных организаций инвалидов, реабилитационных организаций, оказывающих услугу), а также "телефонов доверия" экстренной психологической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пациентских сообществах и онлайн-группах психологической поддержки (в соответствии с заболеванием инвалида - онкология, социально значимые инфекции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различных аспектах социально-психологической реабилитации и абилитации, в том числе по запросу инвалида и (или) сопровождающего его члена семьи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Индивидуально-личностное психологическое консультирование, направленное на проработку и решение обусловленных болезнью и инвалидностью проблем, включая: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коррекцию самосознания, в том числе внутренней картины болезни и инвалидности (формирование гармоничного типа отношения к болезни с целью психологической адаптации к заболеванию и инвалидности);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копинг-компетентности и коррекцию мотивационной, ценностно-смысловой сфер, уровня самооценки, обеспечивающих реабилитационную приверженность личности к активному участию в бытовой, образовательной, производственной, межличностной, культурно-досуговой, а также здоровьесберегающей деятельности и другое;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гармонизацию психоэмоциональной сферы;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проработку актуальных негативных переживаний (тревога, сниженный фон настроения, гнев и другое) и психоэмоционального напряжения, сопровождающих заболевание и инвалидность;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проработку глубинных переживаний (обида, одиночество (изоляция), потеря самоэффективности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расширение диапазона совпадающего со стрессом поведения (адаптивные копинг-стратегии), а также поиск внешних и внутренних ресурсов для повышения функциональности и реабилитационной приверженности личности к социальному восстановлению;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трансформацию "Я" - физического образа (в случае наличия последствий ампутационной и эстетической хирургии);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психологическую подготовку к повторным хирургическим операциям, протезированию, в том числе слухопротезированию и так далее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восстановление, формирование социальных позиций (ролей) инвалида, искаженных полученной травмой и инвалидностью (профессиональной, семейной, супружеской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устранение проявлений агрессивного (аутоагрессивного) и деструктивного поведения, включая обучение методам самоконтроля и другое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Семейное консультирование, целью которого является решение: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проблем супружеских отношений (гармонизация супружеского взаимодействия), родительско-детских отношений;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внутрисемейных проблем (в частности, гармонизация взаимоотношений, минимизация эмоциональной изоляции, установление адекватной коммуникации, оптимизация установок семьи на будущее, профилактика кризисных ситуаций в семье) и другое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нарушений, восстановление, формирование когнитивных функций посредством нейрокоррекционных методик, а также с использованием аппаратно-программных методов с опорой на сохранные анализаторы (слуховой, тактильный, двигательный), с учетом возможностей остаточного зрения;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соматогнозиса, пространственных представлений с учетом возможностей остаточного зрения, а также с опорой на сохранные анализаторы (слуховой, тактильный, двигательный);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развитие, восстановление тонкой дифференциации движений пальцев рук, в том числе аппаратно-программными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речевых функций посредством логопедических занятий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психоэмоциональной сферы психотерапевтическими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психоэмоциональной сферы аппаратно-программными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преодоление неадекватных стереотипов реагирования на непредвиденные и стрессовые ситуации, а также обучение адекватным стереотипам реагирования;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агрессивного (аутоагрессивного) и деструктивного поведения, включая обучение методам самокоррекции;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функции самоконтроля и саморегуляции;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снижение и профилактика психоэмоционального напряжения инвалида, которое выражается в социально неприемлемых действиях, посредством замещения их на социально приемлемые (фото-арт-терапия, библиотерапия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коммуникативного поведения различными психотерапевтическими методами, а также освоение конструктивных способов разрешения конфликтов (в том числе с целью преодоления и профилактики возникновения межличностных конфликтов);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навыков эффективной коммуникации при межличностном взаимодействии инвалида с представителями социума;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развитие экспрессии (мимика, пантомимика, жесты) методами психогимнастики, в том числе с целью изучения различных эмоций и форм их телесного выражения;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у инвалида понятия о личных, в том числе телесных, границах (собственных, других людей) в целях безопасности и эффективности при межличностном взаимодействии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"Я" - физического образа (в случае наличия последствий ампутационной и эстетической хирургии);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активизация и развитие творческих способностей и творческого потенциала инвалида средствами арт-терапии, музыкотерапии и так далее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Психологические тренинги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поддержание сохранных компонентов личности, а также развитие личностных качеств у инвалида (повышение стрессоустойчивости, уверенности в себе, снижение агрессивности, тревожности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навыкам эффективной коммуникации при межличностном взаимодействии инвалида с представителями социума;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конструктивным способам разрешения конфликтов (преодоление и профилактика возникновения межличностных конфликтов);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навыков преодоления неадекватных стереотипов реагирования на непредвиденные и стрессовые ситуации, а также обучение адекватным стереотипам реагирования;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эффективным способам выхода из кризисных ситуаций и повышение уровня психологической защищенности с целью профилактики девиантного, суицидального, аддиктивного поведения и другое;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техникам эмоциональной саморегуляции (мобилизации, релаксации) (дифференциация эмоций, осознавание собственного эмоционального состояния и овладение техниками его нормализации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(обучение) навыков безопасного и эффективного межличностного взаимодействия с учетом соблюдения личных (физических) границ (при необходимости) и другое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gridSpan w:val="3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Социально-психологическое просвещение инвалида и (или) сопровождающего его члена семьи посредством повышения психологической грамотности и социально-психологической компетенции, а также формирование потребности (мотивации) использовать эти знания в работе над собой и различными проблемами социально-психологического характера и другое, в том числе с использованием раздаточного материала, вебинаров, лекций, включает: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саморазвитие, формирование реабилитационной приверженности, повышение мотивации инвалида к ведению здорового образа жизни, в том числе посредством знакомства с биографией людей с инвалидностью, достигнувших высоких результатов в различных сферах культурной, общественной, спортивной, трудовой жизни и так далее (с учетом сенсорной доступности материала инвалиду);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информирование о возможностях и обучение навыкам активного участия в различных сферах социальных взаимодействий (быт, общение, учеба, трудоустройство, спортивная, культурно-досуговая самореализация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просвещение инвалида (с учетом степени выраженности нарушений интеллектуальной сферы) и (или) сопровождающего его члена семьи (при необходимости) о различных аспектах заболевания (причинах, течении, факторах и первых признаках обострений, психотерапевтических методах лечения, прогнозе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просвещение члена семьи о важности поддержания собственного психологического благополучия и качества жизни (чувство ценности собственной жизни, важность удовлетворения собственных потребностей, решение собственных психоэмоциональных проблем в противовес фокусировки активности только на заботе о болеющем члене семьи и другое) (при необходимости) и другое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повторная (контрольная)</w:t>
            </w:r>
          </w:p>
        </w:tc>
        <w:tc>
          <w:tcPr>
            <w:gridSpan w:val="3"/>
            <w:tcW w:w="7257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анкетирование и опрос инвалида, в том числе с целью определения уровня удовлетворенности качеством реализованных реабилитационных мероприятий социально-психологической реабилитации 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психологического обследования для оценки уровня развития ВПФ, состояния психоэмоциональной сферы, степени сформированности коммуникативных навыков, эмоционального интеллекта инвалида и другое, с учетом принципа комплексности (всесторонности) обследования, при необходимости с использованием адаптированных форм диагностического материала, а также с опорой на сохранные анализаторы (тактильный, двигательный), остаточное зрение и (или) слух: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Индивидуальный</w:t>
            </w:r>
          </w:p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характеристик, образа тела, реабилитационной приверженности с помощью пато- и нейропсихологических, а также личностных методик (опросники, тесты);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 методами аппаратно-программной диагностики;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общей моторики и тонкой дифференциации движений пальцев рук нейропсихологическими методиками;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общей моторики и тонкой дифференциации движений пальцев рук методами аппаратно-программной диагностики;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речевых функций (импрессивной и экспрессивной речи) у инвалида с помощью нейропсихологических методик (при необходимости);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речевых функций (импрессивной и экспрессивной речи) у инвалида при помощи логопедических методик (при необходимости);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коммуникативных навыков и навыков поведения в социуме (при необходимости);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gridSpan w:val="3"/>
            <w:tcW w:w="7257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социально-психологической диагностики инвалида, которое должно содержать: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социально-психологического статуса инвалида с учетом выявленных индивидуально-психологических нарушений (сохранен (сформирован), нарушен, утрачен (не сформирован);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эффективности проведенного курса социально-психологической реабилитации (на основании анализа динамики количественных и качественных психологических показателей);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рекомендации по дальнейшей социально-психологической реабилитации и абилитации (нуждается - не нуждается);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401" w:type="dxa"/>
            <w:tcBorders>
              <w:top w:val="nil"/>
              <w:left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8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468" w:type="dxa"/>
            <w:tcBorders>
              <w:top w:val="nil"/>
              <w:bottom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удовлетворенности инвалида реализованными мероприятиями социально-психологической реабилитации и абилитации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05" w:name="P405"/>
    <w:bookmarkEnd w:id="405"/>
    <w:p>
      <w:pPr>
        <w:pStyle w:val="2"/>
        <w:outlineLvl w:val="2"/>
        <w:ind w:firstLine="540"/>
        <w:jc w:val="both"/>
      </w:pPr>
      <w:r>
        <w:rPr>
          <w:sz w:val="24"/>
        </w:rPr>
        <w:t xml:space="preserve">23. Показатели продолжительности реабилитационных мероприятий социально-психологической реабилитации и абилитации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4705"/>
        <w:gridCol w:w="3742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7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реабилитационного мероприятия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1 мероприятия, час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(первичная (входящая) и повторная (контрольная)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0,75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0,75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429" w:name="P429"/>
    <w:bookmarkEnd w:id="429"/>
    <w:p>
      <w:pPr>
        <w:pStyle w:val="2"/>
        <w:outlineLvl w:val="2"/>
        <w:jc w:val="both"/>
      </w:pPr>
      <w:r>
        <w:rPr>
          <w:sz w:val="24"/>
        </w:rPr>
        <w:t xml:space="preserve">24. Показатели кратности реабилитационных мероприятий социально-психологической реабилитации и абилитации в соответствии с ЦРГ инвалида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9"/>
        <w:gridCol w:w="2131"/>
        <w:gridCol w:w="2270"/>
        <w:gridCol w:w="2419"/>
        <w:gridCol w:w="2275"/>
        <w:gridCol w:w="1733"/>
        <w:gridCol w:w="2083"/>
        <w:gridCol w:w="1901"/>
      </w:tblGrid>
      <w:tr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gridSpan w:val="6"/>
            <w:tcW w:w="129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диапазонный показатель количества мероприятий по социально-психологической реабилитации и абилитации</w:t>
            </w:r>
          </w:p>
        </w:tc>
        <w:tc>
          <w:tcPr>
            <w:tcW w:w="190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Социально-психологическая диагностика (константа)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vMerge w:val="continue"/>
          </w:tcPr>
          <w:p/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2 - 7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6 - 27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2 - 6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7 - 20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2 - 6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18 - 27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1 - 6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3" w:tooltip="ЦРГ 1.3 - инвалиды вследствие экзогенно-органических расстройств, а также эпизодических и пароксизмальных расстройств;">
              <w:r>
                <w:rPr>
                  <w:sz w:val="24"/>
                  <w:color w:val="0000ff"/>
                </w:rPr>
                <w:t xml:space="preserve">1.3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4 - 7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4 - 7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7 - 15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3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2 - 8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4 - 8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8" w:tooltip="ЦРГ 3.2 - инвалиды вследствие глухоты или слабослышания;">
              <w:r>
                <w:rPr>
                  <w:sz w:val="24"/>
                  <w:color w:val="0000ff"/>
                </w:rPr>
                <w:t xml:space="preserve">3.2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3 - 8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7 - 15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2 - 20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2 - 6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7 - 20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2" w:tooltip="ЦРГ 4.2 - инвалиды вследствие заболеваний костно-мышечной системы, а также последствий травм и аномалий (пороков развития), деформаций опорно-двигательного аппарата;">
              <w:r>
                <w:rPr>
                  <w:sz w:val="24"/>
                  <w:color w:val="0000ff"/>
                </w:rPr>
                <w:t xml:space="preserve">4.2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2 - 8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7 - 12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3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4.3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4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4.4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5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4.5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6" w:tooltip="ЦРГ 4.6 - инвалиды вследствие врожденного или приобретенного отсутствия обеих нижних конечностей;">
              <w:r>
                <w:rPr>
                  <w:sz w:val="24"/>
                  <w:color w:val="0000ff"/>
                </w:rPr>
                <w:t xml:space="preserve">4.6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6 - 12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2 - 8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7" w:tooltip="ЦРГ 4.7 - инвалиды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4.7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6 - 12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19" w:tooltip="ЦРГ 6 - инвалиды с преимущественными нарушениями функций пищеварительной и (или) эндокринной системы (систем) и метаболизма;">
              <w:r>
                <w:rPr>
                  <w:sz w:val="24"/>
                  <w:color w:val="0000ff"/>
                </w:rPr>
                <w:t xml:space="preserve">6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5 - 12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14 - 30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21" w:tooltip="ЦРГ 8 - инвалиды с преимущественными нарушениями мочевыделительной функции;">
              <w:r>
                <w:rPr>
                  <w:sz w:val="24"/>
                  <w:color w:val="0000ff"/>
                </w:rPr>
                <w:t xml:space="preserve">8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22" w:tooltip="ЦРГ 9 - инвалиды с преимущественными нарушениями функций кожи и связанных с ней систем;">
              <w:r>
                <w:rPr>
                  <w:sz w:val="24"/>
                  <w:color w:val="0000ff"/>
                </w:rPr>
                <w:t xml:space="preserve">9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4 - 8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5 - 12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  <w:tr>
        <w:tc>
          <w:tcPr>
            <w:tcW w:w="859" w:type="dxa"/>
          </w:tcPr>
          <w:p>
            <w:pPr>
              <w:pStyle w:val="0"/>
              <w:jc w:val="center"/>
            </w:pP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4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5 - 10</w:t>
            </w:r>
          </w:p>
        </w:tc>
        <w:tc>
          <w:tcPr>
            <w:tcW w:w="22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7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20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14 - 25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bookmarkStart w:id="641" w:name="P641"/>
    <w:bookmarkEnd w:id="641"/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 средств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154"/>
        <w:gridCol w:w="1247"/>
        <w:gridCol w:w="3968"/>
        <w:gridCol w:w="850"/>
        <w:gridCol w:w="850"/>
        <w:gridCol w:w="3968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реабилитационного оборудования </w:t>
            </w:r>
            <w:hyperlink w:history="0" w:anchor="P877" w:tooltip="&lt;8&gt; Наименования реабилитационного оборудования (вспомогательных средств и технических средств реабилитации) приведены с учетом положений приказа N 385н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группы/подкласса </w:t>
            </w:r>
            <w:hyperlink w:history="0" w:anchor="P878" w:tooltip="&lt;9&gt; Код группы или подкласса вспомогательных средств и технических средств реабилитации приведен в соответствии с кодом, указанным в ГОСТ-9999.">
              <w:r>
                <w:rPr>
                  <w:sz w:val="24"/>
                  <w:color w:val="0000ff"/>
                </w:rPr>
                <w:t xml:space="preserve">&lt;9&gt;</w:t>
              </w:r>
            </w:hyperlink>
          </w:p>
        </w:tc>
        <w:tc>
          <w:tcPr>
            <w:tcW w:w="396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</w:t>
            </w:r>
          </w:p>
        </w:tc>
        <w:tc>
          <w:tcPr>
            <w:gridSpan w:val="2"/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 услуги</w:t>
            </w:r>
          </w:p>
        </w:tc>
        <w:tc>
          <w:tcPr>
            <w:tcW w:w="396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 (цели, ЦРГ)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С, ПС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дому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Средства для тестирования и оценки психических функций организма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3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04 25 06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Наборы диагностических методик, диагностические пособия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диагностики: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Аппаратно-программные комплексы с программами тестирования психической и двигательной сферы человека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диагностики: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7" w:tooltip="ЦРГ 4.7 - инвалиды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4.7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2" w:tooltip="ЦРГ 9 - инвалиды с преимущественными нарушениями функций кожи и связанных с ней систем;">
              <w:r>
                <w:rPr>
                  <w:sz w:val="24"/>
                  <w:color w:val="0000ff"/>
                </w:rPr>
                <w:t xml:space="preserve">9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(с опорой на остаточные возможности слуховых и зрительных анализаторов)</w:t>
            </w:r>
          </w:p>
        </w:tc>
      </w:tr>
      <w:tr>
        <w:tc>
          <w:tcPr>
            <w:tcW w:w="56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5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тренинга когнитивных (познавательных) навыков</w:t>
            </w:r>
          </w:p>
        </w:tc>
        <w:tc>
          <w:tcPr>
            <w:tcW w:w="124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hyperlink w:history="0" r:id="rId3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05 12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тренировки памяти </w:t>
            </w:r>
            <w:hyperlink w:history="0" r:id="rId3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(05 12 03)</w:t>
              </w:r>
            </w:hyperlink>
            <w:r>
              <w:rPr>
                <w:sz w:val="24"/>
              </w:rPr>
              <w:t xml:space="preserve"> </w:t>
            </w:r>
            <w:hyperlink w:history="0" w:anchor="P879" w:tooltip="&lt;10&gt; Наименование вспомогательных средств и код подкласса приведены в соответствии с ГОСТ-9999.">
              <w:r>
                <w:rPr>
                  <w:sz w:val="24"/>
                  <w:color w:val="0000ff"/>
                </w:rPr>
                <w:t xml:space="preserve">&lt;10&gt;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комплексы упражнений для развития и тренировки памяти (в том числе в формате компьютерных программ);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методики улучшения памяти (по типу таблиц Шульте с адаптированными под цели улучшения памяти инструкциями, мнемотехнические техники, игры для развития памяти);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онлайн-игры и приложения для смартфона</w:t>
            </w:r>
          </w:p>
        </w:tc>
        <w:tc>
          <w:tcPr>
            <w:tcW w:w="850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последовательности действий </w:t>
            </w:r>
            <w:hyperlink w:history="0" r:id="rId3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(05 12 06)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настольные игры;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нейропсихологический карточные игры для восстановления серийной организации движений;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"Последовательность картинок" (Х. Бидструпа);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домино тематики последовательности действий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тренировки внимания </w:t>
            </w:r>
            <w:hyperlink w:history="0" r:id="rId3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развивающие комплекты для развития внимания;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тренажеры для развития внимания;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головоломки, настольные игры для развития внимания;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различные лото, домино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тренировки внимания </w:t>
            </w:r>
            <w:hyperlink w:history="0" r:id="rId3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адаптированные настольные игры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навыкам умозрительного восприятия </w:t>
            </w:r>
            <w:hyperlink w:history="0" r:id="rId4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(05 12 12)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развивающие комплекты;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игры, требующие навыка описания предметов и действий по существенным признакам;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наборы карточек для развития логики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способности классифицировать </w:t>
            </w:r>
            <w:hyperlink w:history="0" r:id="rId4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(05 12 15)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комплекты упражнений на развитие умения классифицировать;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В.М. Когана (методика совмещения признаков)</w:t>
            </w:r>
          </w:p>
        </w:tc>
        <w:tc>
          <w:tcPr>
            <w:tcW w:w="850" w:type="dxa"/>
            <w:vAlign w:val="center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</w:t>
            </w:r>
          </w:p>
          <w:p>
            <w:pPr>
              <w:pStyle w:val="0"/>
            </w:pPr>
            <w:r>
              <w:rPr>
                <w:sz w:val="24"/>
              </w:rPr>
              <w:t xml:space="preserve">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способности решать различные проблемы </w:t>
            </w:r>
            <w:hyperlink w:history="0" r:id="rId4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(05 12 18)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головоломки и настольные игры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способности решать различные проблемы </w:t>
            </w:r>
            <w:hyperlink w:history="0" r:id="rId43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(05 12 18)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тактильные шашки, шахматы, нарды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обучения навыкам индуктивного (дедуктивного) мышления </w:t>
            </w:r>
            <w:hyperlink w:history="0" r:id="rId4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(05 12 21)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сборник головоломок для развития мышления;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игры на развитие аналитических процессов;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настольные игры, в том числе в адаптированном формате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развития способности понимать причину и следствие </w:t>
            </w:r>
            <w:hyperlink w:history="0" r:id="rId4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(05 12 24)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развивающие наборы и логические игры для развития ассоциативного процесса;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головоломки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когнитивной (познавательной) терапии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04 26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Настольные игры на развитие памяти, развивающие наборы, модульные наборы психолога (в частности, боксы психолога с различным наполнением)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перцептивной тренировки (тренировки восприимчивости)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4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04 36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тренировки (обучения) способности различать и сравнивать </w:t>
            </w:r>
            <w:hyperlink w:history="0" r:id="rId4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(04 36 03)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счетные палочки Кюизенера;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доски Сегена;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развивающая панель, звуковая панель;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наборы карточек на сравнение предметов (по размерам, объему, площади, массе, углам, формам, назначению и другое)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4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сенсорные мешочки, музыкальные инструменты, природные материалы для тренировки сенсорной дифференциации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 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5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сенсорная комната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5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световой стол для рисования песком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пальцев и кистей рук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04 48 12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Силиконовые мячи для тренировки кистей рук различных текстур;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различной плотности и ширины резинки и резиновые или силиконовые эспандеры;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шнуровки;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тактильных дисков для развития тактильной чувствительности рук и ног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3</w:t>
              </w:r>
            </w:hyperlink>
            <w:r>
              <w:rPr>
                <w:sz w:val="24"/>
              </w:rPr>
              <w:t xml:space="preserve"> -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19" w:tooltip="ЦРГ 6 - инвалиды с преимущественными нарушениями функций пищеварительной и (или) эндокринной системы (систем) и метаболизма;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Настенные панели для эрготерапии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рук, туловища и ног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3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04 48 15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Сенсорная тропа для ног;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наборы (модули) для тренировки верхних конечностей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19" w:tooltip="ЦРГ 6 - инвалиды с преимущественными нарушениями функций пищеварительной и (или) эндокринной системы (систем) и метаболизма;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Аппаратно-программные комплексы восстановления утраченных двигательных функций, в том числе с использованием виртуальной реальности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19" w:tooltip="ЦРГ 6 - инвалиды с преимущественными нарушениями функций пищеварительной и (или) эндокринной системы (систем) и метаболизма;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Устройства с биологической обратной связью для тренировки опорно-двигательного и вестибулярного аппаратов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04 48 24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Аппаратно-программные комплексы с биологической обратной связью, в том числе с использованием виртуальной реальности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с учетом сенсорной доступности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социальному поведению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05 27 06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Специальные альбом с тематикой повышения социального интеллекта, дидактические карточки для развития эмоций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Средства для поддержания памяти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22 27 16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Устройства для уведомления, напоминания о приеме лекарств, портативные записные книжки, ноутбуки с поддержкой памяти, системы отображения речи, системы напоминаний о времени каких-либо действий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.4 - инвалиды вследствие эндогенных, аффективных, невротических и соматоформных расстройств;">
              <w:r>
                <w:rPr>
                  <w:sz w:val="24"/>
                  <w:color w:val="0000ff"/>
                </w:rPr>
                <w:t xml:space="preserve">1.4</w:t>
              </w:r>
            </w:hyperlink>
            <w:r>
              <w:rPr>
                <w:sz w:val="24"/>
              </w:rPr>
              <w:t xml:space="preserve">;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;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; </w:t>
            </w:r>
            <w:hyperlink w:history="0" w:anchor="P118" w:tooltip="ЦРГ 5 - инвалиды с преимущественными нарушениями функций сердечно-сосудистой и (или) дыхательной системы (систем);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-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Средства для рисования и рукописи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22 12 03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Наборы цветных ручек, фломастеров, карандашей, мелков, пастели;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гуашь, акварель, кисточки;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линейки, фигурные трафареты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Цветные карандаши для слепых и слабовидящих, тактильные линейки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Держатели для ручек, карандашей, кисточек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.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средства, записывающие, воспроизводящие и отображающие звуко- и видеоинформацию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22 18</w:t>
              </w:r>
            </w:hyperlink>
          </w:p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Тактильно-звуковые 3D-пособия, тифлофлешплеер, аудиомагнитофон, цифровой диктофон, наушники-плеер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Телевизор с телетекстом для приема программ со скрытыми субтитрами, медиаплеер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3</w:t>
              </w:r>
            </w:hyperlink>
            <w:r>
              <w:rPr>
                <w:sz w:val="24"/>
              </w:rPr>
              <w:t xml:space="preserve">.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Аудиомагнитофон, телевизор, медиаплеер, цифровой диктофон, наушники-плеер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96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877" w:name="P877"/>
    <w:bookmarkEnd w:id="8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Наименования реабилитационного оборудования (вспомогательных средств и технических средств реабилитации) приведены с учетом положений </w:t>
      </w:r>
      <w:hyperlink w:history="0" r:id="rId59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bookmarkStart w:id="878" w:name="P878"/>
    <w:bookmarkEnd w:id="8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Код группы или подкласса вспомогательных средств и технических средств реабилитации приведен в соответствии с кодом, указанным в </w:t>
      </w:r>
      <w:hyperlink w:history="0" r:id="rId6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ГОСТ-9999</w:t>
        </w:r>
      </w:hyperlink>
      <w:r>
        <w:rPr>
          <w:sz w:val="24"/>
        </w:rPr>
        <w:t xml:space="preserve">.</w:t>
      </w:r>
    </w:p>
    <w:bookmarkStart w:id="879" w:name="P879"/>
    <w:bookmarkEnd w:id="8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Наименование вспомогательных средств и код подкласса приведены в соответствии с </w:t>
      </w:r>
      <w:hyperlink w:history="0" r:id="rId6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ГОСТ-9999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458"/>
        <w:gridCol w:w="2324"/>
        <w:gridCol w:w="4932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методики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  <w:tc>
          <w:tcPr>
            <w:tcW w:w="4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10714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Диагностические методики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gridSpan w:val="3"/>
            <w:tcW w:w="10714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когнитивных функций и интеллектуальной сферы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Диагностическая батарея нейропсихологических тестов (А.Р. Лурия)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 -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Нейропсихологическое блиц-обследование (Т.Г. Визель)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 -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Краткое нейропсихологическое обследование когнитивной сферы (И.М. Тонконогий)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 -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Экспериментальные методики патопсихологии (Комплект: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Практическое руководство + Стимульный материал) (С.Я. Рубинштейн)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 -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Краткая шкала оценки психического статуса (М.Ф. Фолштейн)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 </w:t>
            </w: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 -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 -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диагностики интеллекта по тесту Векслера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ЦРГ - при необходимости, кроме инвалидов с нарушениями функций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 для оценки мыслительных способностей "Прогрессивные матрицы Равена"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"Кольца Ландольта"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 и одновременным отсутствием обеих верхних конечностей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применяется при сохранности навыка письма и рисования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"Последовательность событий" (А.Н. Бернштейн)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скрининг обследования больных с афазией (М.М. Щербакова, С.В. Котов)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оценки речи при афазии (Л.С. Цветкова, Т.В. Ахутина, Н.М. Пылаева)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Шкала для оценки степени выраженности речевых нарушений у больных с локальными поражениями мозга (С.А. Дорофеева)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0" w:tooltip="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;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классификации предметов. Практикум по психодиагностике (Л.Н. Собчик)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2.</w:t>
            </w:r>
          </w:p>
        </w:tc>
        <w:tc>
          <w:tcPr>
            <w:gridSpan w:val="3"/>
            <w:tcW w:w="10714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эмоциональной и личностной сферы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Проективные методики ("Рисунок семьи", "Рисунок человека", "Несуществующее животное", "Дом-Дерево-Человек", другие)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 и одновременным отсутствием обеих верхних конечностей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уровня интеллектуального развития инвалида:</w:t>
            </w:r>
          </w:p>
          <w:p>
            <w:pPr>
              <w:pStyle w:val="0"/>
              <w:jc w:val="both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сохранности навыка письма и рисования, а также с учетом доступности понимания инвалидом выполняемого задания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 фрустрационных реакций (С. Розенцвейг)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уровня интеллектуального развития инвалида:</w:t>
            </w:r>
          </w:p>
          <w:p>
            <w:pPr>
              <w:pStyle w:val="0"/>
              <w:jc w:val="both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Цветовой тест М. Люшера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уровня интеллектуального развития инвалида:</w:t>
            </w:r>
          </w:p>
          <w:p>
            <w:pPr>
              <w:pStyle w:val="0"/>
              <w:jc w:val="both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 цветовых выборов (Л.Н. Собчик, модифицированный восьмицветовой тест М. Люшера)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уровня интеллектуального развития инвалида:</w:t>
            </w:r>
          </w:p>
          <w:p>
            <w:pPr>
              <w:pStyle w:val="0"/>
              <w:jc w:val="both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 Руки (Э. Вагнер)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уровня интеллектуального развития инвалида:</w:t>
            </w:r>
          </w:p>
          <w:p>
            <w:pPr>
              <w:pStyle w:val="0"/>
              <w:jc w:val="both"/>
            </w:pP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,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1.1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.2 - инвалиды вследствие расстройств аутистического спектра;">
              <w:r>
                <w:rPr>
                  <w:sz w:val="24"/>
                  <w:color w:val="0000ff"/>
                </w:rPr>
                <w:t xml:space="preserve">1.2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Опросник САН (самочувствия, активности и настроения)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самооценки Дембо-Рубинштейн (модификация А.М. Прихожан)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2.8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 смысложизненных ориентаций (СЖО) (Дж. Крамбо, Л. Махолика, адаптация Д.А. Леонтьева)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2.9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Ценностные ориентации (М. Рокич)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2.10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Двадцать утверждений самоотношения (М. Кун, Т. Мак-Партланд, модификация В.И. Юрченко)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диагностики самооценки (Ч.Д. Спилбергер, Ю.Л. Ханин)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измерения уровня тревожности (Дж. Тейлор, адаптация В.Г. Норакидзе)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Шкала депрессии А. Бека (адаптация Н.В. Тарабриной)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Госпитальная шкала тревоги и депрессии (А. Зигмонд, Р. Снейт, адаптация</w:t>
            </w:r>
          </w:p>
          <w:p>
            <w:pPr>
              <w:pStyle w:val="0"/>
            </w:pPr>
            <w:r>
              <w:rPr>
                <w:sz w:val="24"/>
              </w:rPr>
              <w:t xml:space="preserve">А.В. Андрющенко)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Симптоматический опросник SCL-90-R (Simptom Check List-90-Revised) (Л. Дерогатис, адаптация Н.В. Тарабриной)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Опросник уровня агрессивности Басса-Дарки (адаптация С.Н. Ениколопова)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2.17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Личностный опросник EPI (Eysenck Personality Inventory) (Г. Айзенк)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2.18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Многофакторная личностная методика Р. Кеттелла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2.19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Я-структурный тест Г. Аммона (Ю.А. Тупицын)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2.20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Многоуровневый личностный опросник "Адаптивность" (А.Г. Маклаков, С.В. Чермянин)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Тест-опросник Шмишека (Г. Шмишек, адаптация В.М. Блейхер)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Опросник Мини-Мульт (СМОЛ - сокращенный многофакторный опросник для исследования личности)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Тип отношения к болезни (ТОБОЛ) (Л.И. Вассерман, Б.В. Иовлев, Э.Б. Карпова)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Опросник "Стратегии совпадающего поведения" (Р. Лазарус, С. Фолкман; адапт. Т.Л. Крюковой, Е.В. Куфтяк, М.С. Замышляевой; доп.</w:t>
            </w:r>
          </w:p>
          <w:p>
            <w:pPr>
              <w:pStyle w:val="0"/>
            </w:pPr>
            <w:r>
              <w:rPr>
                <w:sz w:val="24"/>
              </w:rPr>
              <w:t xml:space="preserve">стандартизирована Л.И. Вассерманом, Б.В. Иовлевым, Е.Р. Исаевой и другие)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Уровень субъективного контроля личности (УСК) (Е.Ф. Бажин, Е.А. Голынкина, А.М. Эткинд)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2.26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Опросник оценки реабилитационной приверженности личности (Опросник ОРПЛ) (Е.В. Морозова)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3.</w:t>
            </w:r>
          </w:p>
        </w:tc>
        <w:tc>
          <w:tcPr>
            <w:gridSpan w:val="3"/>
            <w:tcW w:w="1071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сферы межличностных взаимоотношений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Методика "Незаконченные предложения" (Д. Сакс, С. Леви)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межличностных отношений (ДМО) (модификация Л.Н. Собчик)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Тест коммуникативных умений Михельсона (адаптация Ю.З. Гильбуха)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Цветовой тест отношений (А.М. Эткинд)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Для </w:t>
            </w:r>
            <w:hyperlink w:history="0" w:anchor="P100" w:tooltip="ЦРГ 1 - инвалиды с преимущественными нарушениями психических функций;">
              <w:r>
                <w:rPr>
                  <w:sz w:val="24"/>
                  <w:color w:val="0000ff"/>
                </w:rPr>
                <w:t xml:space="preserve">ЦРГ 1</w:t>
              </w:r>
            </w:hyperlink>
            <w:r>
              <w:rPr>
                <w:sz w:val="24"/>
              </w:rPr>
              <w:t xml:space="preserve"> и инвалидов, включенных в другие ЦРГ, но имеющих нарушения психических функций - методики используются с учетом степени выраженности интеллектуальных нарушений (когнитивного дефицита) инвалида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Шкала социального самоконтроля (М. Снайдер, адаптация Н.В. Амяга)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3.6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коммуникативной толерантности (В.В. Бойко)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</w:t>
            </w:r>
            <w:hyperlink w:history="0" w:anchor="P101" w:tooltip="ЦРГ 1.1 - инвалиды вследствие нарушений интеллектуального развития;">
              <w:r>
                <w:rPr>
                  <w:sz w:val="24"/>
                  <w:color w:val="0000ff"/>
                </w:rPr>
                <w:t xml:space="preserve">ЦРГ 1.1</w:t>
              </w:r>
            </w:hyperlink>
            <w:r>
              <w:rPr>
                <w:sz w:val="24"/>
              </w:rPr>
              <w:t xml:space="preserve"> и </w:t>
            </w:r>
            <w:hyperlink w:history="0" w:anchor="P123" w:tooltip="ЦРГ 10 - инвалиды со сложными и (или) множественными нарушениями функций организма, обусловленными хромосомными и генными болезнями;">
              <w:r>
                <w:rPr>
                  <w:sz w:val="24"/>
                  <w:color w:val="0000ff"/>
                </w:rPr>
                <w:t xml:space="preserve">10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4</w:t>
            </w:r>
          </w:p>
        </w:tc>
        <w:tc>
          <w:tcPr>
            <w:gridSpan w:val="3"/>
            <w:tcW w:w="10714" w:type="dxa"/>
          </w:tcPr>
          <w:p>
            <w:pPr>
              <w:pStyle w:val="0"/>
            </w:pPr>
            <w:r>
              <w:rPr>
                <w:sz w:val="24"/>
              </w:rPr>
              <w:t xml:space="preserve">Коррекционные методики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Альбом для тренировки мозга от нейропсихолога (Н.К. Талызина)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 с учетом возможности остаточного зрения на адаптированных бланках (повышенная контрастность, укрупненный шрифт и так далее)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Альбом для развития мозга от нейропсихолога (Н.К. Талызина)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 с учетом возможности остаточного зрения на адаптированных бланках (повышенная контрастность, укрупненный шрифт и так далее)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Гимнастика для ума (О.И. Марычева, К.А. Габараева)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hyperlink w:history="0" w:anchor="P106" w:tooltip="ЦРГ 3 - инвалиды с преимущественными нарушениями сенсорных функций;">
              <w:r>
                <w:rPr>
                  <w:sz w:val="24"/>
                  <w:color w:val="0000ff"/>
                </w:rPr>
                <w:t xml:space="preserve">ЦРГ 3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3.1 - инвалиды вследствие слепоты или слабовидения;">
              <w:r>
                <w:rPr>
                  <w:sz w:val="24"/>
                  <w:color w:val="0000ff"/>
                </w:rPr>
                <w:t xml:space="preserve">3.1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3.3 - инвалиды вследствие сочетанных нарушений функций зрения и слуха;">
              <w:r>
                <w:rPr>
                  <w:sz w:val="24"/>
                  <w:color w:val="0000ff"/>
                </w:rPr>
                <w:t xml:space="preserve">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1 - инвалиды с врожденными или приобретенными деформациями (аномалиями развития), последствиями травм лица.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 - текстовый (печатный) вариант опросника при нарушении зрительных функций предъявляется с учетом возможности остаточного зрения на адаптированных бланках (повышенная контрастность, укрупненный шрифт и так далее)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Восстановление высших психических функций (Л.С. Цветкова)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Нейропсихология письма, чтения и счета: нарушение и восстановление (Л.С. Цветкова)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Нейропсихологическая реабилитация больных: речь и интеллектуальная деятельность (Л.С. Цветкова)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Афазия. Агнозия. Апраксия. Методики восстановления (М.Г. Храковская)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Внимание, мышление, речь. Комплекс упражнений. Грубая форма афазии (1 и 2 часть) (Л.Б. Клепацкая)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4.9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Развитие речи, мышления, внимания.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Грубая форма афазии (Л.Б. Клепацкая)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4.10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Когнитивная реабилитация больных с инсультом и черепно-мозговыми травмами (В.Н. Григорьева, М.С. Ковязина, А.Ш. Тхостов)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ЦРГ 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4.11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Понимание и формирование речи. Грубая форма афазий (Л.Б. Клепацкая)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4.12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Восстановление речи. Упражнения и тексты. Средняя и легкая формы афазии (Л.Б. Клепацкая)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4.13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Восстановление речевых функций у больных с разными формами афазии (В.М. Шкловский, Т.Г. Визель)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05" w:tooltip="ЦРГ 2 - инвалиды с преимущественными нарушениями языковых и речевых функций;">
              <w:r>
                <w:rPr>
                  <w:sz w:val="24"/>
                  <w:color w:val="0000ff"/>
                </w:rPr>
                <w:t xml:space="preserve">ЦРГ 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4.14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Программа психологического сопровождения пациентов с синдромом неглекта (Е.В. Никитаева)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hyperlink w:history="0" w:anchor="P111" w:tooltip="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">
              <w:r>
                <w:rPr>
                  <w:sz w:val="24"/>
                  <w:color w:val="0000ff"/>
                </w:rPr>
                <w:t xml:space="preserve">ЦРГ 4.1</w:t>
              </w:r>
            </w:hyperlink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Примерный перечень методов и направлений психологического консультирования и психотерапии, применяемых при реализации мероприятий в рамках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реализации мероприятий психологического консультирования, практических занятий, психологических тренингов для инвалидов рекомендуется использовать следующие психологические методы, подходы и психотерапевтические направления: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когнитивно-поведенческая терапия базируется на принципе проработки "ошибок" мышления и деструктивных поведенческих стереотипов для адаптации эмоциональных и поведенческих реакций личности при реализации различных социальных, профессиональных и других функций;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семейная психотерапия направлена на коррекцию нарушений межличностных внутрисемейных отношений и устранение связанных с ними эмоциональных и поведенческих расстройств (в формате работы психотерапевта с одним или несколькими членами семьи);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кататимно-имагинативная психотерапия (символдрама) направлена на разрешение внутреннего конфликта через опосредование переживания образным символом;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экзистенциальная психотерапия (в том числе логотерапия) основана на поиске и анализе человеком различных смыслов существования;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гештальт-терапия сфокусирована на проработке внутриличностных конфликтов в настоящем моменте ("здесь и сейчас") с помощью различных гештальт-техник и упражнений, направленных на осознание многогранного личностного опыта (чувств, переживаний, телесных проявлений, действий, поступков и происходящих с человеком событий), что позволяет достичь внутриличностной целостности (интегрированности) и осмысленности жизни, улучшающих творческий контакт человека с окружающей средой (социальным окружением и внешним миром в целом);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арт-терапия базируется на принципе использования творческой активности человека в качестве терапевтического и профилактического воздействия в целях снятия стресса, повышенной тревожности, эмоционального напряжения и другой симптоматики, посредством творческого самовыражения в рамках различных техник (изобразительное искусство, музыка, экспрессивно окрашенные движения, танец или театральное, сценическое искусство);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десенсибилизация и переработка движением глаз (ДПДГ) относится к краткосрочным методам психотерапии травматического опыта и заключается в целенаправленной инициации процесса "переработки" "переработки" воспоминаний о негативных событиях при помощи билатеральной стимуляции посредством специальных техник (серий движений глаз, постукиваний по рукам или пощелкиваний пальцами);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психодрама базируется на проработке проблемных переживаний посредством разыгрывания (импровизация) разнообразных жизненных сценариев с целью снятия эмоционального напряжения и освоения новых, более адаптивных способов поведения (в групповой и индивидуальной форме);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личностно-ориентированная терапия ставит акцент не на симптомах, а на личностных проблемах с целью сделать личность способной к разрешению внешних и внутренних конфликтов путем реорганизации системы ее отношений;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методы психологической саморегуляции обучает самостоятельному формированию алгоритмов внутреннего управления собственным психоэмоциональным состоянием посредством самовоздействия человека с помощью различных техник (аффирмаций, мысленных образов (визуализация), регуляции мышечного тонуса и дыхания (нервно-мышечная релаксация, аутогенная тренировка, сенсорная репродукция образов и другое).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244" w:name="P1244"/>
    <w:bookmarkEnd w:id="1244"/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Показателями качества и оценки результативности реализации услуги в рамках стандарта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полнота выполнения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достижение конкретных целей;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удовлетворенность результатами оказанной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в реабилитационную организацию инвалида проводится социально-психологическая диагностика первичная (входящая), а по завершении - социально-психологическая диагностика повторная (контрольная).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социально-психологической диагностики используется протокол оценки эффективности проведенного курса социально-психологической реабилитации и абилитации, представленный в </w:t>
      </w:r>
      <w:hyperlink w:history="0" w:anchor="P1342" w:tooltip="26. Протокол оценки эффективности проведенного курса социально-психологической реабилитации и абилитации.">
        <w:r>
          <w:rPr>
            <w:sz w:val="24"/>
            <w:color w:val="0000ff"/>
          </w:rPr>
          <w:t xml:space="preserve">пункте 26</w:t>
        </w:r>
      </w:hyperlink>
      <w:r>
        <w:rPr>
          <w:sz w:val="24"/>
        </w:rPr>
        <w:t xml:space="preserve"> настоящего раздела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рамках социально-психологической диагностики проводится, в том числе, оценка ограничений в следующих основных категориях жизнедеятельности: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контролировать свое поведение;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общению.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Частично социально-психологическая диагностика касается оценки ОЖД в категориях: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ориентации;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учитывается оценка ОЖД в остальных категориях: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самообслуживанию;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самостоятельному передвижению;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трудовой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ОЖД производится на основании описания активности и участия инвалида посредством оценки категорий МКФ в соответствии со следующей шкалой: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- 0 - нет затруднений;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- 1 - легкие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- 2 - умеренные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- 3 - тяжелые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- 4 - абсолютные затруднения.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социально-психологической диагностики первичной (входящей) определяются конкретные цели на курс социально-психологической реабилитации и абилитации и объем мероприятий, входящих в состав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окончании курса реабилитации проводится социально-психологическая диагностика повторная (контрольная), в рамках которой оцениваются критерии: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5500"/>
        <w:gridCol w:w="964"/>
        <w:gridCol w:w="850"/>
        <w:gridCol w:w="1077"/>
      </w:tblGrid>
      <w:tr>
        <w:tc>
          <w:tcPr>
            <w:gridSpan w:val="2"/>
            <w:tcW w:w="61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Критерии эффективности реализации услуги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балла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балл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баллов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500" w:type="dxa"/>
          </w:tcPr>
          <w:p>
            <w:pPr>
              <w:pStyle w:val="0"/>
            </w:pPr>
            <w:r>
              <w:rPr>
                <w:sz w:val="24"/>
              </w:rPr>
              <w:t xml:space="preserve">Полнота выполнения услуги (P)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500" w:type="dxa"/>
          </w:tcPr>
          <w:p>
            <w:pPr>
              <w:pStyle w:val="0"/>
            </w:pPr>
            <w:r>
              <w:rPr>
                <w:sz w:val="24"/>
              </w:rPr>
              <w:t xml:space="preserve">Достижение конкретных целей (C)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500" w:type="dxa"/>
          </w:tcPr>
          <w:p>
            <w:pPr>
              <w:pStyle w:val="0"/>
            </w:pPr>
            <w:r>
              <w:rPr>
                <w:sz w:val="24"/>
              </w:rPr>
              <w:t xml:space="preserve">Реабилитационный эффект (R)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500" w:type="dxa"/>
          </w:tcPr>
          <w:p>
            <w:pPr>
              <w:pStyle w:val="0"/>
            </w:pPr>
            <w:r>
              <w:rPr>
                <w:sz w:val="24"/>
              </w:rPr>
              <w:t xml:space="preserve">Удовлетворенность результатами оказанной услуги (U)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6180" w:type="dxa"/>
          </w:tcPr>
          <w:p>
            <w:pPr>
              <w:pStyle w:val="0"/>
            </w:pPr>
            <w:r>
              <w:rPr>
                <w:sz w:val="24"/>
              </w:rPr>
              <w:t xml:space="preserve">Общий балл:</w:t>
            </w:r>
          </w:p>
        </w:tc>
        <w:tc>
          <w:tcPr>
            <w:gridSpan w:val="3"/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Критерий "Полнота выполнения услуги" (P) оценивается исходя из того, насколько полно были реализованы все мероприятия, обозначенные в стандарте, для соответствующей ЦРГ. При реализации мероприятий в соответствии со стандартом - полный объем (социально-психологическая диагностика (первичная (входящая), повторная (контрольная), информирование, консультирование, практические занятия, тренинги, просвещение) - услуга оказана в полном объеме - ставится 2 балла. При выполнении мероприятий не в полном объеме (не проведено 1 мероприятие из указанных в стандарте) - услуга оказана частично - 1 балл. При невыполнении 2 или более мероприятий, входящих в состав услуги, или количество мероприятий меньше, чем указано в стандарте - услуга оказана не в полном объеме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Критерий "Достижение конкретных целей" (C) оценивается насколько полно были реализованы конкретные цели, определенные при социально-психологической диагностике первичной (входящей) на курс реабилитации. Поставленные цели достигнуты полностью - 2 балла. Поставленные цели достигнуты частично - 1 балл. Ни одна из поставленных целей не достигнута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Критерий "Реабилитационный эффект" (R) рассчитывается посредством сопоставления результатов социально-психологической диагностики первичной (входящей) и повторной (контрольной)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R = b / a * 100%,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R - реабилитационный эффект, в процентах;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b - количество категорий МКФ, по которым наблюдается положительная динамика;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a - общее количество исследуемых категорий МКФ, которым были присвоены баллы от 4 до 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получении дробного числа, необходимо произвести его округление.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эффекта производится по следующим критериям: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061"/>
        <w:gridCol w:w="3515"/>
        <w:gridCol w:w="2494"/>
      </w:tblGrid>
      <w:tr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Реабилитационный эффект (R), %</w:t>
            </w:r>
          </w:p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 реабилитационного эффекта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 реабилитационного эффекта, балл</w:t>
            </w:r>
          </w:p>
        </w:tc>
      </w:tr>
      <w:tr>
        <w:tc>
          <w:tcPr>
            <w:tcW w:w="30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0 - 9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Отсутствует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</w:tr>
      <w:tr>
        <w:tc>
          <w:tcPr>
            <w:tcW w:w="30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10 - 54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Незначительный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30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55 - 75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Удовлетворительный</w:t>
            </w:r>
          </w:p>
        </w:tc>
        <w:tc>
          <w:tcPr>
            <w:tcW w:w="249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30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 и &gt;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Высокий</w:t>
            </w:r>
          </w:p>
        </w:tc>
        <w:tc>
          <w:tcPr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Критерий "Удовлетворенность результатами оказанной услуги" (U) - субъективное, эмоционально-оценочное отношение инвалида к результатам оказания услуги. Полностью удовлетворен - субъективные ожидания, представления инвалида полностью совпали с результатами - 2 балла. Частично удовлетворен - субъективные ожидания, представления инвалида частично совпали с результатами - 1 балл. Отсутствует удовлетворенность - субъективные ожидания, представления инвалида совсем не совпали с результатами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эффективности в реабилитационной организации (K) рассчитывается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K = P + C + R + U,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P - полнота выполнения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C - достижение конкретных целей;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R - реабилитационный эффект;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U - удовлетворенность инвалида результатами оказанной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признается результативной если общее количество баллов составляет 4 и более баллов. Если общее количество баллов менее 4, то социально-психологическая реабилитация и абилитация считается нерезультативной.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Данные социально-психологической диагностики первичной (входящей) и повторной (контрольной), а также суммарный балльный показатель результативности оказанной услуги заносятся в реабилитационную (абилитационную) карту.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реализации мероприятий и оказании услуги реабилитационные организации направляют в течение 10 рабочих дней со дня завершения курса (но не позднее даты окончания срока действия ИПРА инвалида) в соответствующий орган исполнительной власти субъекта Российской Федерации, который является исполнителем в соответствии с разработанной ИПРА инвалида.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42" w:name="P1342"/>
    <w:bookmarkEnd w:id="1342"/>
    <w:p>
      <w:pPr>
        <w:pStyle w:val="0"/>
        <w:outlineLvl w:val="2"/>
        <w:ind w:firstLine="540"/>
        <w:jc w:val="both"/>
      </w:pPr>
      <w:r>
        <w:rPr>
          <w:sz w:val="24"/>
        </w:rPr>
        <w:t xml:space="preserve">26. Протокол оценки эффективности проведенного курса социально-психологической реабилитации и абилитации.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79"/>
        <w:gridCol w:w="907"/>
        <w:gridCol w:w="850"/>
        <w:gridCol w:w="1020"/>
        <w:gridCol w:w="964"/>
        <w:gridCol w:w="1191"/>
        <w:gridCol w:w="850"/>
        <w:gridCol w:w="850"/>
        <w:gridCol w:w="1020"/>
        <w:gridCol w:w="1020"/>
        <w:gridCol w:w="1022"/>
      </w:tblGrid>
      <w:tr>
        <w:tc>
          <w:tcPr>
            <w:tcW w:w="447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Категории МКФ</w:t>
            </w:r>
          </w:p>
        </w:tc>
        <w:tc>
          <w:tcPr>
            <w:gridSpan w:val="5"/>
            <w:tcW w:w="4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социально-психологической диагностики первичной (входящей) (в баллах)</w:t>
            </w:r>
          </w:p>
        </w:tc>
        <w:tc>
          <w:tcPr>
            <w:gridSpan w:val="5"/>
            <w:tcW w:w="47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социально-психологической диагностики повторной (контрольной) (в баллах)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НЕТ затруднений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ЛЕГКИЕ затруднения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УМЕРЕННЫЕ затруднения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ТЯЖЕЛЫЕ затруднения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АБСОЛЮТНЫЕ затруднения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НЕТ затруднений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ЛЕГКИЕ затруднения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УМЕРЕННЫЕ затруднения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ТЯЖЕЛЫЕ затруднения</w:t>
            </w:r>
          </w:p>
        </w:tc>
        <w:tc>
          <w:tcPr>
            <w:tcW w:w="10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АБСОЛЮТНЫЕ затруднения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0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117 Интеллектуальные функции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126 Темперамент и личностные функции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130 Волевые и побудительные функции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140 Функции внимания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1400 Устойчивость внимания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1401 Переключение внимания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1402 Разделение внимания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1403 Сосредоточение внимания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144 Функции памяти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b 1440 Кратковременная память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b 1441 Долговременная память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147 Психомоторные функции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1470 Психомоторный контроль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1471 Качество психомоторных функций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152 Функции эмоций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1520 Адекватность эмоций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1521 Регуляция эмоций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156 Функции восприятия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1560 Слуховое восприятие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1561 Зрительное восприятие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1564 Тактильное восприятие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1565 Визуально пространственное восприятие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160 Функции мышления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172 Функции вычисления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130 Копирование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135 Повторение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166 Чтение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170 Письмо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240 Преодоление стресса и других психологических нагрузок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330 Речь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440 Использование точных движений кисти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4402 Манипулирование (пальцами и кистями рук)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710 Базисные межличностные взаимодействия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720 Сложные межличностные взаимодействия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730 Отношения с незнакомыми людьми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740 Формальные отношения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7400 Отношения с людьми, обладающими властью и авторитетом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7402 Отношения с равными по положению индивидами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750 Неформальные социальные отношения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760 Семейные отношения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7600 Отношения "родители-дети"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7601 Отношения "дети-родители"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7602 Отношения детей в семье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770 Интимные отношения</w:t>
            </w:r>
          </w:p>
        </w:tc>
        <w:tc>
          <w:tcPr>
            <w:gridSpan w:val="10"/>
            <w:tcW w:w="969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7701 Супружеские отношения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14173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Результат</w:t>
            </w:r>
          </w:p>
        </w:tc>
      </w:tr>
      <w:tr>
        <w:tc>
          <w:tcPr>
            <w:tcW w:w="447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исследуемых категорий МКФ, которым был присвоен балл от 4 до 1 (a)</w:t>
            </w:r>
          </w:p>
        </w:tc>
        <w:tc>
          <w:tcPr>
            <w:gridSpan w:val="5"/>
            <w:tcW w:w="4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Реабилитационный эффект по услуге (R)</w:t>
            </w:r>
          </w:p>
        </w:tc>
        <w:tc>
          <w:tcPr>
            <w:gridSpan w:val="5"/>
            <w:tcW w:w="47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категорий МКФ, по которым наблюдается положительная динамика (b)</w:t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932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R = _____ / _____ * 100% =</w:t>
            </w:r>
          </w:p>
        </w:tc>
        <w:tc>
          <w:tcPr>
            <w:gridSpan w:val="5"/>
            <w:tcW w:w="476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 категорий МКФ по услуге</w:t>
            </w:r>
          </w:p>
        </w:tc>
        <w:tc>
          <w:tcPr>
            <w:gridSpan w:val="5"/>
            <w:vMerge w:val="continue"/>
          </w:tcPr>
          <w:p/>
        </w:tc>
        <w:tc>
          <w:tcPr>
            <w:gridSpan w:val="5"/>
            <w:vMerge w:val="continue"/>
          </w:tcPr>
          <w:p/>
        </w:tc>
      </w:tr>
      <w:tr>
        <w:tc>
          <w:tcPr>
            <w:tcW w:w="44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gridSpan w:val="5"/>
            <w:vMerge w:val="continue"/>
          </w:tcPr>
          <w:p/>
        </w:tc>
        <w:tc>
          <w:tcPr>
            <w:gridSpan w:val="5"/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2"/>
      <w:headerReference w:type="first" r:id="rId32"/>
      <w:footerReference w:type="default" r:id="rId33"/>
      <w:footerReference w:type="first" r:id="rId33"/>
      <w:pgSz w:w="16838" w:h="11906" w:orient="landscape"/>
      <w:pgMar w:top="1133" w:right="397" w:bottom="566" w:left="397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23.05.2025 N 322н</w:t>
            <w:br/>
            <w:t>"Об утверждении Стандарта оказания услуги по социально-психологической реаби...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23.05.2025 N 322н</w:t>
            <w:br/>
            <w:t>"Об утверждении Стандарта оказания услуги по социально-психологической реаби...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7.06.2025&amp;dst=471&amp;field=134&amp;demo=2" TargetMode = "External"/>
	<Relationship Id="rId8" Type="http://schemas.openxmlformats.org/officeDocument/2006/relationships/hyperlink" Target="https://login.consultant.ru/link/?req=doc&amp;base=LAW&amp;n=483022&amp;date=27.06.2025&amp;dst=512&amp;field=134&amp;demo=2" TargetMode = "External"/>
	<Relationship Id="rId9" Type="http://schemas.openxmlformats.org/officeDocument/2006/relationships/hyperlink" Target="https://login.consultant.ru/link/?req=doc&amp;base=LAW&amp;n=481937&amp;date=27.06.2025&amp;dst=100030&amp;field=134&amp;demo=2" TargetMode = "External"/>
	<Relationship Id="rId10" Type="http://schemas.openxmlformats.org/officeDocument/2006/relationships/hyperlink" Target="https://login.consultant.ru/link/?req=doc&amp;base=LAW&amp;n=484371&amp;date=27.06.2025&amp;demo=2" TargetMode = "External"/>
	<Relationship Id="rId11" Type="http://schemas.openxmlformats.org/officeDocument/2006/relationships/hyperlink" Target="https://login.consultant.ru/link/?req=doc&amp;base=LAW&amp;n=485076&amp;date=27.06.2025&amp;dst=100047&amp;field=134&amp;demo=2" TargetMode = "External"/>
	<Relationship Id="rId12" Type="http://schemas.openxmlformats.org/officeDocument/2006/relationships/hyperlink" Target="https://login.consultant.ru/link/?req=doc&amp;base=LAW&amp;n=485034&amp;date=27.06.2025&amp;dst=100036&amp;field=134&amp;demo=2" TargetMode = "External"/>
	<Relationship Id="rId13" Type="http://schemas.openxmlformats.org/officeDocument/2006/relationships/hyperlink" Target="https://login.consultant.ru/link/?req=doc&amp;base=LAW&amp;n=491714&amp;date=27.06.2025&amp;demo=2" TargetMode = "External"/>
	<Relationship Id="rId14" Type="http://schemas.openxmlformats.org/officeDocument/2006/relationships/hyperlink" Target="https://login.consultant.ru/link/?req=doc&amp;base=LAW&amp;n=497933&amp;date=27.06.2025&amp;dst=100094&amp;field=134&amp;demo=2" TargetMode = "External"/>
	<Relationship Id="rId15" Type="http://schemas.openxmlformats.org/officeDocument/2006/relationships/hyperlink" Target="https://login.consultant.ru/link/?req=doc&amp;base=OTN&amp;n=26841&amp;date=27.06.2025&amp;dst=104080&amp;field=134&amp;demo=2" TargetMode = "External"/>
	<Relationship Id="rId16" Type="http://schemas.openxmlformats.org/officeDocument/2006/relationships/hyperlink" Target="https://login.consultant.ru/link/?req=doc&amp;base=LAW&amp;n=334930&amp;date=27.06.2025&amp;demo=2" TargetMode = "External"/>
	<Relationship Id="rId17" Type="http://schemas.openxmlformats.org/officeDocument/2006/relationships/hyperlink" Target="https://login.consultant.ru/link/?req=doc&amp;base=LAW&amp;n=483022&amp;date=27.06.2025&amp;dst=35&amp;field=134&amp;demo=2" TargetMode = "External"/>
	<Relationship Id="rId18" Type="http://schemas.openxmlformats.org/officeDocument/2006/relationships/hyperlink" Target="https://login.consultant.ru/link/?req=doc&amp;base=LAW&amp;n=491714&amp;date=27.06.2025&amp;dst=100080&amp;field=134&amp;demo=2" TargetMode = "External"/>
	<Relationship Id="rId19" Type="http://schemas.openxmlformats.org/officeDocument/2006/relationships/hyperlink" Target="https://login.consultant.ru/link/?req=doc&amp;base=LAW&amp;n=485076&amp;date=27.06.2025&amp;demo=2" TargetMode = "External"/>
	<Relationship Id="rId20" Type="http://schemas.openxmlformats.org/officeDocument/2006/relationships/hyperlink" Target="https://login.consultant.ru/link/?req=doc&amp;base=LAW&amp;n=485034&amp;date=27.06.2025&amp;demo=2" TargetMode = "External"/>
	<Relationship Id="rId21" Type="http://schemas.openxmlformats.org/officeDocument/2006/relationships/hyperlink" Target="https://login.consultant.ru/link/?req=doc&amp;base=OTN&amp;n=26841&amp;date=27.06.2025&amp;demo=2" TargetMode = "External"/>
	<Relationship Id="rId22" Type="http://schemas.openxmlformats.org/officeDocument/2006/relationships/hyperlink" Target="https://login.consultant.ru/link/?req=doc&amp;base=LAW&amp;n=334930&amp;date=27.06.2025&amp;demo=2" TargetMode = "External"/>
	<Relationship Id="rId23" Type="http://schemas.openxmlformats.org/officeDocument/2006/relationships/hyperlink" Target="https://login.consultant.ru/link/?req=doc&amp;base=LAW&amp;n=485034&amp;date=27.06.2025&amp;demo=2" TargetMode = "External"/>
	<Relationship Id="rId24" Type="http://schemas.openxmlformats.org/officeDocument/2006/relationships/hyperlink" Target="https://login.consultant.ru/link/?req=doc&amp;base=LAW&amp;n=485034&amp;date=27.06.2025&amp;dst=101235&amp;field=134&amp;demo=2" TargetMode = "External"/>
	<Relationship Id="rId25" Type="http://schemas.openxmlformats.org/officeDocument/2006/relationships/hyperlink" Target="https://login.consultant.ru/link/?req=doc&amp;base=LAW&amp;n=485034&amp;date=27.06.2025&amp;dst=100013&amp;field=134&amp;demo=2" TargetMode = "External"/>
	<Relationship Id="rId26" Type="http://schemas.openxmlformats.org/officeDocument/2006/relationships/hyperlink" Target="https://login.consultant.ru/link/?req=doc&amp;base=LAW&amp;n=491714&amp;date=27.06.2025&amp;dst=100080&amp;field=134&amp;demo=2" TargetMode = "External"/>
	<Relationship Id="rId27" Type="http://schemas.openxmlformats.org/officeDocument/2006/relationships/hyperlink" Target="https://login.consultant.ru/link/?req=doc&amp;base=LAW&amp;n=491714&amp;date=27.06.2025&amp;demo=2" TargetMode = "External"/>
	<Relationship Id="rId28" Type="http://schemas.openxmlformats.org/officeDocument/2006/relationships/hyperlink" Target="https://login.consultant.ru/link/?req=doc&amp;base=LAW&amp;n=483022&amp;date=27.06.2025&amp;dst=252&amp;field=134&amp;demo=2" TargetMode = "External"/>
	<Relationship Id="rId29" Type="http://schemas.openxmlformats.org/officeDocument/2006/relationships/hyperlink" Target="https://login.consultant.ru/link/?req=doc&amp;base=OTN&amp;n=26669&amp;date=27.06.2025&amp;demo=2" TargetMode = "External"/>
	<Relationship Id="rId30" Type="http://schemas.openxmlformats.org/officeDocument/2006/relationships/hyperlink" Target="https://login.consultant.ru/link/?req=doc&amp;base=LAW&amp;n=334929&amp;date=27.06.2025&amp;demo=2" TargetMode = "External"/>
	<Relationship Id="rId31" Type="http://schemas.openxmlformats.org/officeDocument/2006/relationships/hyperlink" Target="https://login.consultant.ru/link/?req=doc&amp;base=LAW&amp;n=485034&amp;date=27.06.2025&amp;demo=2" TargetMode = "External"/>
	<Relationship Id="rId32" Type="http://schemas.openxmlformats.org/officeDocument/2006/relationships/header" Target="header2.xml"/>
	<Relationship Id="rId33" Type="http://schemas.openxmlformats.org/officeDocument/2006/relationships/footer" Target="footer2.xml"/>
	<Relationship Id="rId34" Type="http://schemas.openxmlformats.org/officeDocument/2006/relationships/hyperlink" Target="https://login.consultant.ru/link/?req=doc&amp;base=OTN&amp;n=26841&amp;date=27.06.2025&amp;dst=100634&amp;field=134&amp;demo=2" TargetMode = "External"/>
	<Relationship Id="rId35" Type="http://schemas.openxmlformats.org/officeDocument/2006/relationships/hyperlink" Target="https://login.consultant.ru/link/?req=doc&amp;base=OTN&amp;n=26841&amp;date=27.06.2025&amp;dst=100842&amp;field=134&amp;demo=2" TargetMode = "External"/>
	<Relationship Id="rId36" Type="http://schemas.openxmlformats.org/officeDocument/2006/relationships/hyperlink" Target="https://login.consultant.ru/link/?req=doc&amp;base=OTN&amp;n=26841&amp;date=27.06.2025&amp;dst=100846&amp;field=134&amp;demo=2" TargetMode = "External"/>
	<Relationship Id="rId37" Type="http://schemas.openxmlformats.org/officeDocument/2006/relationships/hyperlink" Target="https://login.consultant.ru/link/?req=doc&amp;base=OTN&amp;n=26841&amp;date=27.06.2025&amp;dst=100848&amp;field=134&amp;demo=2" TargetMode = "External"/>
	<Relationship Id="rId38" Type="http://schemas.openxmlformats.org/officeDocument/2006/relationships/hyperlink" Target="https://login.consultant.ru/link/?req=doc&amp;base=OTN&amp;n=26841&amp;date=27.06.2025&amp;dst=100851&amp;field=134&amp;demo=2" TargetMode = "External"/>
	<Relationship Id="rId39" Type="http://schemas.openxmlformats.org/officeDocument/2006/relationships/hyperlink" Target="https://login.consultant.ru/link/?req=doc&amp;base=OTN&amp;n=26841&amp;date=27.06.2025&amp;dst=100851&amp;field=134&amp;demo=2" TargetMode = "External"/>
	<Relationship Id="rId40" Type="http://schemas.openxmlformats.org/officeDocument/2006/relationships/hyperlink" Target="https://login.consultant.ru/link/?req=doc&amp;base=OTN&amp;n=26841&amp;date=27.06.2025&amp;dst=100854&amp;field=134&amp;demo=2" TargetMode = "External"/>
	<Relationship Id="rId41" Type="http://schemas.openxmlformats.org/officeDocument/2006/relationships/hyperlink" Target="https://login.consultant.ru/link/?req=doc&amp;base=OTN&amp;n=26841&amp;date=27.06.2025&amp;dst=100857&amp;field=134&amp;demo=2" TargetMode = "External"/>
	<Relationship Id="rId42" Type="http://schemas.openxmlformats.org/officeDocument/2006/relationships/hyperlink" Target="https://login.consultant.ru/link/?req=doc&amp;base=OTN&amp;n=26841&amp;date=27.06.2025&amp;dst=100860&amp;field=134&amp;demo=2" TargetMode = "External"/>
	<Relationship Id="rId43" Type="http://schemas.openxmlformats.org/officeDocument/2006/relationships/hyperlink" Target="https://login.consultant.ru/link/?req=doc&amp;base=OTN&amp;n=26841&amp;date=27.06.2025&amp;dst=100860&amp;field=134&amp;demo=2" TargetMode = "External"/>
	<Relationship Id="rId44" Type="http://schemas.openxmlformats.org/officeDocument/2006/relationships/hyperlink" Target="https://login.consultant.ru/link/?req=doc&amp;base=OTN&amp;n=26841&amp;date=27.06.2025&amp;dst=100862&amp;field=134&amp;demo=2" TargetMode = "External"/>
	<Relationship Id="rId45" Type="http://schemas.openxmlformats.org/officeDocument/2006/relationships/hyperlink" Target="https://login.consultant.ru/link/?req=doc&amp;base=OTN&amp;n=26841&amp;date=27.06.2025&amp;dst=100865&amp;field=134&amp;demo=2" TargetMode = "External"/>
	<Relationship Id="rId46" Type="http://schemas.openxmlformats.org/officeDocument/2006/relationships/hyperlink" Target="https://login.consultant.ru/link/?req=doc&amp;base=OTN&amp;n=26841&amp;date=27.06.2025&amp;dst=100637&amp;field=134&amp;demo=2" TargetMode = "External"/>
	<Relationship Id="rId47" Type="http://schemas.openxmlformats.org/officeDocument/2006/relationships/hyperlink" Target="https://login.consultant.ru/link/?req=doc&amp;base=OTN&amp;n=26841&amp;date=27.06.2025&amp;dst=100707&amp;field=134&amp;demo=2" TargetMode = "External"/>
	<Relationship Id="rId48" Type="http://schemas.openxmlformats.org/officeDocument/2006/relationships/hyperlink" Target="https://login.consultant.ru/link/?req=doc&amp;base=OTN&amp;n=26841&amp;date=27.06.2025&amp;dst=100715&amp;field=134&amp;demo=2" TargetMode = "External"/>
	<Relationship Id="rId49" Type="http://schemas.openxmlformats.org/officeDocument/2006/relationships/hyperlink" Target="https://login.consultant.ru/link/?req=doc&amp;base=OTN&amp;n=26841&amp;date=27.06.2025&amp;dst=100723&amp;field=134&amp;demo=2" TargetMode = "External"/>
	<Relationship Id="rId50" Type="http://schemas.openxmlformats.org/officeDocument/2006/relationships/hyperlink" Target="https://login.consultant.ru/link/?req=doc&amp;base=OTN&amp;n=26841&amp;date=27.06.2025&amp;dst=100723&amp;field=134&amp;demo=2" TargetMode = "External"/>
	<Relationship Id="rId51" Type="http://schemas.openxmlformats.org/officeDocument/2006/relationships/hyperlink" Target="https://login.consultant.ru/link/?req=doc&amp;base=OTN&amp;n=26841&amp;date=27.06.2025&amp;dst=100723&amp;field=134&amp;demo=2" TargetMode = "External"/>
	<Relationship Id="rId52" Type="http://schemas.openxmlformats.org/officeDocument/2006/relationships/hyperlink" Target="https://login.consultant.ru/link/?req=doc&amp;base=OTN&amp;n=26841&amp;date=27.06.2025&amp;dst=100742&amp;field=134&amp;demo=2" TargetMode = "External"/>
	<Relationship Id="rId53" Type="http://schemas.openxmlformats.org/officeDocument/2006/relationships/hyperlink" Target="https://login.consultant.ru/link/?req=doc&amp;base=OTN&amp;n=26841&amp;date=27.06.2025&amp;dst=100745&amp;field=134&amp;demo=2" TargetMode = "External"/>
	<Relationship Id="rId54" Type="http://schemas.openxmlformats.org/officeDocument/2006/relationships/hyperlink" Target="https://login.consultant.ru/link/?req=doc&amp;base=OTN&amp;n=26841&amp;date=27.06.2025&amp;dst=100752&amp;field=134&amp;demo=2" TargetMode = "External"/>
	<Relationship Id="rId55" Type="http://schemas.openxmlformats.org/officeDocument/2006/relationships/hyperlink" Target="https://login.consultant.ru/link/?req=doc&amp;base=OTN&amp;n=26841&amp;date=27.06.2025&amp;dst=100827&amp;field=134&amp;demo=2" TargetMode = "External"/>
	<Relationship Id="rId56" Type="http://schemas.openxmlformats.org/officeDocument/2006/relationships/hyperlink" Target="https://login.consultant.ru/link/?req=doc&amp;base=OTN&amp;n=26841&amp;date=27.06.2025&amp;dst=103243&amp;field=134&amp;demo=2" TargetMode = "External"/>
	<Relationship Id="rId57" Type="http://schemas.openxmlformats.org/officeDocument/2006/relationships/hyperlink" Target="https://login.consultant.ru/link/?req=doc&amp;base=OTN&amp;n=26841&amp;date=27.06.2025&amp;dst=103057&amp;field=134&amp;demo=2" TargetMode = "External"/>
	<Relationship Id="rId58" Type="http://schemas.openxmlformats.org/officeDocument/2006/relationships/hyperlink" Target="https://login.consultant.ru/link/?req=doc&amp;base=OTN&amp;n=26841&amp;date=27.06.2025&amp;dst=103104&amp;field=134&amp;demo=2" TargetMode = "External"/>
	<Relationship Id="rId59" Type="http://schemas.openxmlformats.org/officeDocument/2006/relationships/hyperlink" Target="https://login.consultant.ru/link/?req=doc&amp;base=LAW&amp;n=485034&amp;date=27.06.2025&amp;demo=2" TargetMode = "External"/>
	<Relationship Id="rId60" Type="http://schemas.openxmlformats.org/officeDocument/2006/relationships/hyperlink" Target="https://login.consultant.ru/link/?req=doc&amp;base=OTN&amp;n=26841&amp;date=27.06.2025&amp;demo=2" TargetMode = "External"/>
	<Relationship Id="rId61" Type="http://schemas.openxmlformats.org/officeDocument/2006/relationships/hyperlink" Target="https://login.consultant.ru/link/?req=doc&amp;base=OTN&amp;n=26841&amp;date=27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23.05.2025 N 322н
"Об утверждении Стандарта оказания услуги по социально-психологической реабилитации и абилитации инвалидов"
(Зарегистрировано в Минюсте России 23.06.2025 N 82694)</dc:title>
  <dcterms:created xsi:type="dcterms:W3CDTF">2025-06-27T14:09:01Z</dcterms:created>
</cp:coreProperties>
</file>