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07.07.2025 N 210-ФЗ</w:t>
              <w:br/>
              <w:t xml:space="preserve">"О внесении изменений в отдельные законодательные акты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7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210-ФЗ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ОТДЕЛЬНЫЕ ЗАКОНОДАТЕЛЬНЫЕ АКТЫ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25 июня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 июля 2025 года</w:t>
      </w:r>
    </w:p>
    <w:p>
      <w:pPr>
        <w:pStyle w:val="0"/>
        <w:jc w:val="right"/>
      </w:pPr>
      <w:r>
        <w:rPr>
          <w:sz w:val="24"/>
        </w:rPr>
      </w:r>
    </w:p>
    <w:bookmarkStart w:id="19" w:name="P19"/>
    <w:bookmarkEnd w:id="19"/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7" w:tooltip="Федеральный закон от 13.12.1996 N 150-ФЗ (ред. от 08.08.2024) &quot;Об оруж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13 декабря 1996 года N 150-ФЗ "Об оружии" (Собрание законодательства Российской Федерации, 1996, N 51, ст. 5681; 2001, N 31, ст. 3171; 2009, N 7, ст. 770; 2010, N 23, ст. 2793; 2011, N 1, ст. 10; N 30, ст. 4596; N 50, ст. 7351; 2012, N 29, ст. 3993; 2013, N 27, ст. 3477; 2014, N 30, ст. 4228; 2016, N 15, ст. 2066; N 27, ст. 4160; 2017, N 31, ст. 4817; N 50, ст. 7562; 2018, N 30, ст. 4554; 2019, N 31, ст. 4439; 2020, N 50, ст. 8048; 2021, N 27, ст. 5059; 2022, N 9, ст. 1253; 2024, N 33, ст. 4946)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8" w:tooltip="Федеральный закон от 13.12.1996 N 150-ФЗ (ред. от 08.08.2024) &quot;Об оружии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3.1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3.1. Гражданское экспортное оружие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 гражданскому экспортному оружию относится оружие, производимое только для экспорта в соответствии с техническими характеристиками, установленными требованиями стран-импортеров.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Гражданское экспортное оружие производится на основе моделей гражданского оружия, разрешенных к обороту на территории Российской Федерации и прошедших обязательное подтверждение соответствия.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Гражданское экспортное оружие должно исключать ведение огня очередями.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Допускается наличие следующих отличий технических характеристик гражданского экспортного оружия от технических характеристик гражданского оружия, разрешенного к обороту на территории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для огнестрельного длинноствольного оружия - длина цельного ствола от его казенной части или длина цельного ствола со ствольной коробкой менее 500 мм и общая длина оружия менее 800 мм, а также конструкция, которая позволяет сделать его длину менее 800 мм без потери возможности производства выстрела;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для охотничьего пневматического оружия - дульная энергия более 25 Дж.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Каждая единица гражданского экспортного оружия, основные части гражданского экспортного оружия должны иметь ясно видимую, неуничтожаемую без механической обработки отличительную маркировку, подтверждающую отличие гражданского экспортного оружия от гражданского оружия, разрешенного к обороту на территории Российской Федерации.";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2) </w:t>
      </w:r>
      <w:hyperlink w:history="0" r:id="rId9" w:tooltip="Федеральный закон от 13.12.1996 N 150-ФЗ (ред. от 08.08.2024) &quot;Об оружии&quot; {КонсультантПлюс}">
        <w:r>
          <w:rPr>
            <w:sz w:val="24"/>
            <w:color w:val="0000ff"/>
          </w:rPr>
          <w:t xml:space="preserve">пункт 7 статьи 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"7) продажа, приобретение, ношение, использование, ввоз в Российскую Федерацию гражданского экспортного оружия и патронов к нему;";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 </w:t>
      </w:r>
      <w:hyperlink w:history="0" r:id="rId10" w:tooltip="Федеральный закон от 13.12.1996 N 150-ФЗ (ред. от 08.08.2024) &quot;Об оружии&quot; {КонсультантПлюс}">
        <w:r>
          <w:rPr>
            <w:sz w:val="24"/>
            <w:color w:val="0000ff"/>
          </w:rPr>
          <w:t xml:space="preserve">статье 7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1" w:tooltip="Федеральный закон от 13.12.1996 N 150-ФЗ (ред. от 08.08.2024) &quot;Об оружии&quot; {КонсультантПлюс}">
        <w:r>
          <w:rPr>
            <w:sz w:val="24"/>
            <w:color w:val="0000ff"/>
          </w:rPr>
          <w:t xml:space="preserve">часть первую</w:t>
        </w:r>
      </w:hyperlink>
      <w:r>
        <w:rPr>
          <w:sz w:val="24"/>
        </w:rPr>
        <w:t xml:space="preserve"> дополнить предложением следующего содержания: "Обязательные требования к гражданскому экспортному оружию устанавливаются в соответствии с законодательством Российской Федерации о техническом регулировании и статьей 3.1 настоящего Федерального закона.";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2" w:tooltip="Федеральный закон от 13.12.1996 N 150-ФЗ (ред. от 08.08.2024) &quot;Об оружии&quot; {КонсультантПлюс}">
        <w:r>
          <w:rPr>
            <w:sz w:val="24"/>
            <w:color w:val="0000ff"/>
          </w:rPr>
          <w:t xml:space="preserve">часть вторую</w:t>
        </w:r>
      </w:hyperlink>
      <w:r>
        <w:rPr>
          <w:sz w:val="24"/>
        </w:rPr>
        <w:t xml:space="preserve"> после слов "реплик старинного (антикварного) оружия" дополнить словами ", а также гражданского экспортного оружия";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13" w:tooltip="Федеральный закон от 13.12.1996 N 150-ФЗ (ред. от 08.08.2024) &quot;Об оружии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пятой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"Обязательное подтверждение соответствия гражданского экспортного оружия проводится в соответствии с законодательством Российской Федерации о техническом регулировании в отношении обязательных требований, установленных частью первой настоящей статьи, в том числе в целях идентификации вида оружия, а также удостоверения наличия отличительной маркировки, подтверждающей отличие гражданского экспортного оружия от гражданского оружия, разрешенного к обороту на территории Российской Федерации.";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</w:t>
      </w:r>
      <w:hyperlink w:history="0" r:id="rId14" w:tooltip="Федеральный закон от 13.12.1996 N 150-ФЗ (ред. от 08.08.2024) &quot;Об оружии&quot; {КонсультантПлюс}">
        <w:r>
          <w:rPr>
            <w:sz w:val="24"/>
            <w:color w:val="0000ff"/>
          </w:rPr>
          <w:t xml:space="preserve">часть вторую статьи 17</w:t>
        </w:r>
      </w:hyperlink>
      <w:r>
        <w:rPr>
          <w:sz w:val="24"/>
        </w:rPr>
        <w:t xml:space="preserve"> дополнить предложениями следующего содержания: "Вывоз из Российской Федерации гражданского экспортного оружия и патронов к нему осуществляется по разрешениям федерального органа исполнительной власти, уполномоченного в сфере оборота оружия. В случаях и порядке, которые установлены Правительством Российской Федерации в соответствии с </w:t>
      </w:r>
      <w:hyperlink w:history="0" r:id="rId15" w:tooltip="Федеральный закон от 18.07.1999 N 183-ФЗ (ред. от 26.03.2022) &quot;Об экспортном контроле&quot; {КонсультантПлюс}">
        <w:r>
          <w:rPr>
            <w:sz w:val="24"/>
            <w:color w:val="0000ff"/>
          </w:rPr>
          <w:t xml:space="preserve">пунктом 2 статьи 20</w:t>
        </w:r>
      </w:hyperlink>
      <w:r>
        <w:rPr>
          <w:sz w:val="24"/>
        </w:rPr>
        <w:t xml:space="preserve"> Федерального закона от 18 июля 1999 года N 183-ФЗ "Об экспортном контроле", выдача указанных разрешений осуществляется при представлении в федеральный орган исполнительной власти, уполномоченный в сфере оборота оружия, разрешения межведомственного координационного органа по экспортному контролю на осуществление внешнеэкономических операций.".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16" w:tooltip="Федеральный закон от 14.04.1999 N 77-ФЗ (ред. от 21.04.2025) &quot;О ведомственной охране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14 апреля 1999 года N 77-ФЗ "О ведомственной охране" (Собрание законодательства Российской Федерации, 1999, N 16, ст. 1935; 2007, N 49, ст. 6079; 2009, N 19, ст. 2279; 2010, N 48, ст. 6246; 2014, N 16, ст. 1832; N 30, ст. 4260; 2015, N 29, ст. 4342; 2016, N 27, ст. 4160, 4221; 2022, N 27, ст. 4631; N 41, ст. 6957; N 45, ст. 7672; 2023, N 1, ст. 85; 2024, N 1, ст. 20; N 18, ст. 2395)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17" w:tooltip="Федеральный закон от 14.04.1999 N 77-ФЗ (ред. от 21.04.2025) &quot;О ведомственной охране&quot; {КонсультантПлюс}">
        <w:r>
          <w:rPr>
            <w:sz w:val="24"/>
            <w:color w:val="0000ff"/>
          </w:rPr>
          <w:t xml:space="preserve">статье 8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8" w:tooltip="Федеральный закон от 14.04.1999 N 77-ФЗ (ред. от 21.04.2025) &quot;О ведомственной охране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новой частью девятой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"Ведомственная охрана оптовой генерирующей компании, созданной на основании решений Правительства Российской Федерации в результате реорганизации дочерних и зависимых акционерных обществ Российского открытого акционерного общества энергетики и электрификации "Единая энергетическая система России", в уставный капитал которой переданы генерирующие объекты гидроэлектростанций, обеспечивает физическую охрану объектов топливно-энергетического комплекса, принадлежащих на праве собственности указанным оптовой генерирующей компании и ее дочерним обществам, и принадлежащего им имущества, необходимого для функционирования таких объектов топливно-энергетического комплекса.";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9" w:tooltip="Федеральный закон от 14.04.1999 N 77-ФЗ (ред. от 21.04.2025) &quot;О ведомственной охране&quot; {КонсультантПлюс}">
        <w:r>
          <w:rPr>
            <w:sz w:val="24"/>
            <w:color w:val="0000ff"/>
          </w:rPr>
          <w:t xml:space="preserve">части девятую</w:t>
        </w:r>
      </w:hyperlink>
      <w:r>
        <w:rPr>
          <w:sz w:val="24"/>
        </w:rPr>
        <w:t xml:space="preserve"> - </w:t>
      </w:r>
      <w:hyperlink w:history="0" r:id="rId20" w:tooltip="Федеральный закон от 14.04.1999 N 77-ФЗ (ред. от 21.04.2025) &quot;О ведомственной охране&quot; {КонсультантПлюс}">
        <w:r>
          <w:rPr>
            <w:sz w:val="24"/>
            <w:color w:val="0000ff"/>
          </w:rPr>
          <w:t xml:space="preserve">двенадцатую</w:t>
        </w:r>
      </w:hyperlink>
      <w:r>
        <w:rPr>
          <w:sz w:val="24"/>
        </w:rPr>
        <w:t xml:space="preserve"> считать соответственно частями десятой - тринадцатой;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21" w:tooltip="Федеральный закон от 14.04.1999 N 77-ФЗ (ред. от 21.04.2025) &quot;О ведомственной охране&quot; {КонсультантПлюс}">
        <w:r>
          <w:rPr>
            <w:sz w:val="24"/>
            <w:color w:val="0000ff"/>
          </w:rPr>
          <w:t xml:space="preserve">часть тринадцатую</w:t>
        </w:r>
      </w:hyperlink>
      <w:r>
        <w:rPr>
          <w:sz w:val="24"/>
        </w:rPr>
        <w:t xml:space="preserve"> считать частью четырнадцатой и в ней слова "частях восьмой и одиннадцатой" заменить словами "частях десятой и тринадцатой";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</w:t>
      </w:r>
      <w:hyperlink w:history="0" r:id="rId22" w:tooltip="Федеральный закон от 14.04.1999 N 77-ФЗ (ред. от 21.04.2025) &quot;О ведомственной охране&quot; {КонсультантПлюс}">
        <w:r>
          <w:rPr>
            <w:sz w:val="24"/>
            <w:color w:val="0000ff"/>
          </w:rPr>
          <w:t xml:space="preserve">части первой статьи 26</w:t>
        </w:r>
      </w:hyperlink>
      <w:r>
        <w:rPr>
          <w:sz w:val="24"/>
        </w:rPr>
        <w:t xml:space="preserve"> слова "частей первой - пятой, седьмой, восьмой и одиннадцатой статьи 8" заменить словами "частей первой - шестой, восьмой - одиннадцатой и четырнадцатой статьи 8".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53" w:name="P53"/>
    <w:bookmarkEnd w:id="53"/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3" w:tooltip="Федеральный закон от 27.12.2002 N 184-ФЗ (ред. от 25.12.2023) &quot;О техническом регулировании&quot; {КонсультантПлюс}">
        <w:r>
          <w:rPr>
            <w:sz w:val="24"/>
            <w:color w:val="0000ff"/>
          </w:rPr>
          <w:t xml:space="preserve">Главу 1</w:t>
        </w:r>
      </w:hyperlink>
      <w:r>
        <w:rPr>
          <w:sz w:val="24"/>
        </w:rPr>
        <w:t xml:space="preserve"> Федерального закона от 27 декабря 2002 года N 184-ФЗ "О техническом регулировании" (Собрание законодательства Российской Федерации, 2002, N 52, ст. 5140) дополнить статьей 5.7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5.7. Особенности технического регулирования в отношении гражданского экспортного оружия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Особенности технического регулирования в отношении гражданского экспортного оружия устанавливаются Федеральным </w:t>
      </w:r>
      <w:hyperlink w:history="0" r:id="rId24" w:tooltip="Федеральный закон от 13.12.1996 N 150-ФЗ (ред. от 08.08.2024) &quot;Об оруж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13 декабря 1996 года N 150-ФЗ "Об оружии".".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5" w:tooltip="Федеральный закон от 21.07.2011 N 256-ФЗ (ред. от 22.04.2024) &quot;О безопасности объектов топливно-энергетического комплекса&quot; {КонсультантПлюс}">
        <w:r>
          <w:rPr>
            <w:sz w:val="24"/>
            <w:color w:val="0000ff"/>
          </w:rPr>
          <w:t xml:space="preserve">Статью 9.1</w:t>
        </w:r>
      </w:hyperlink>
      <w:r>
        <w:rPr>
          <w:sz w:val="24"/>
        </w:rPr>
        <w:t xml:space="preserve"> Федерального закона от 21 июля 2011 года N 256-ФЗ "О безопасности объектов топливно-энергетического комплекса" (Собрание законодательства Российской Федерации, 2011, N 30, ст. 4604; 2014, N 16, ст. 1832; 2024, N 18, ст. 2395) после слов "углеводородного сырья," дополнить словами "оптовая генерирующая компания, созданная на основании решений Правительства Российской Федерации в результате реорганизации дочерних и зависимых акционерных обществ Российского открытого акционерного общества энергетики и электрификации "Единая энергетическая система России", в уставный капитал которой переданы генерирующие объекты гидроэлектростанций,".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со дня его официального опубликования, за исключением </w:t>
      </w:r>
      <w:hyperlink w:history="0" w:anchor="P19" w:tooltip="Статья 1">
        <w:r>
          <w:rPr>
            <w:sz w:val="24"/>
            <w:color w:val="0000ff"/>
          </w:rPr>
          <w:t xml:space="preserve">статей 1</w:t>
        </w:r>
      </w:hyperlink>
      <w:r>
        <w:rPr>
          <w:sz w:val="24"/>
        </w:rPr>
        <w:t xml:space="preserve"> и </w:t>
      </w:r>
      <w:hyperlink w:history="0" w:anchor="P53" w:tooltip="Статья 3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w:anchor="P19" w:tooltip="Статья 1">
        <w:r>
          <w:rPr>
            <w:sz w:val="24"/>
            <w:color w:val="0000ff"/>
          </w:rPr>
          <w:t xml:space="preserve">Статьи 1</w:t>
        </w:r>
      </w:hyperlink>
      <w:r>
        <w:rPr>
          <w:sz w:val="24"/>
        </w:rPr>
        <w:t xml:space="preserve"> и </w:t>
      </w:r>
      <w:hyperlink w:history="0" w:anchor="P53" w:tooltip="Статья 3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настоящего Федерального закона вступают в силу с 1 марта 2026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7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210-ФЗ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07.07.2025 N 210-ФЗ</w:t>
            <w:br/>
            <w:t>"О внесении изменений в отдельные законодательные акты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2688&amp;date=08.07.2025&amp;demo=2" TargetMode = "External"/>
	<Relationship Id="rId8" Type="http://schemas.openxmlformats.org/officeDocument/2006/relationships/hyperlink" Target="https://login.consultant.ru/link/?req=doc&amp;base=LAW&amp;n=482688&amp;date=08.07.2025&amp;demo=2" TargetMode = "External"/>
	<Relationship Id="rId9" Type="http://schemas.openxmlformats.org/officeDocument/2006/relationships/hyperlink" Target="https://login.consultant.ru/link/?req=doc&amp;base=LAW&amp;n=482688&amp;date=08.07.2025&amp;dst=100078&amp;field=134&amp;demo=2" TargetMode = "External"/>
	<Relationship Id="rId10" Type="http://schemas.openxmlformats.org/officeDocument/2006/relationships/hyperlink" Target="https://login.consultant.ru/link/?req=doc&amp;base=LAW&amp;n=482688&amp;date=08.07.2025&amp;dst=144&amp;field=134&amp;demo=2" TargetMode = "External"/>
	<Relationship Id="rId11" Type="http://schemas.openxmlformats.org/officeDocument/2006/relationships/hyperlink" Target="https://login.consultant.ru/link/?req=doc&amp;base=LAW&amp;n=482688&amp;date=08.07.2025&amp;dst=306&amp;field=134&amp;demo=2" TargetMode = "External"/>
	<Relationship Id="rId12" Type="http://schemas.openxmlformats.org/officeDocument/2006/relationships/hyperlink" Target="https://login.consultant.ru/link/?req=doc&amp;base=LAW&amp;n=482688&amp;date=08.07.2025&amp;dst=442&amp;field=134&amp;demo=2" TargetMode = "External"/>
	<Relationship Id="rId13" Type="http://schemas.openxmlformats.org/officeDocument/2006/relationships/hyperlink" Target="https://login.consultant.ru/link/?req=doc&amp;base=LAW&amp;n=482688&amp;date=08.07.2025&amp;dst=144&amp;field=134&amp;demo=2" TargetMode = "External"/>
	<Relationship Id="rId14" Type="http://schemas.openxmlformats.org/officeDocument/2006/relationships/hyperlink" Target="https://login.consultant.ru/link/?req=doc&amp;base=LAW&amp;n=482688&amp;date=08.07.2025&amp;dst=333&amp;field=134&amp;demo=2" TargetMode = "External"/>
	<Relationship Id="rId15" Type="http://schemas.openxmlformats.org/officeDocument/2006/relationships/hyperlink" Target="https://login.consultant.ru/link/?req=doc&amp;base=LAW&amp;n=412773&amp;date=08.07.2025&amp;dst=28&amp;field=134&amp;demo=2" TargetMode = "External"/>
	<Relationship Id="rId16" Type="http://schemas.openxmlformats.org/officeDocument/2006/relationships/hyperlink" Target="https://login.consultant.ru/link/?req=doc&amp;base=LAW&amp;n=503676&amp;date=08.07.2025&amp;demo=2" TargetMode = "External"/>
	<Relationship Id="rId17" Type="http://schemas.openxmlformats.org/officeDocument/2006/relationships/hyperlink" Target="https://login.consultant.ru/link/?req=doc&amp;base=LAW&amp;n=503676&amp;date=08.07.2025&amp;dst=100164&amp;field=134&amp;demo=2" TargetMode = "External"/>
	<Relationship Id="rId18" Type="http://schemas.openxmlformats.org/officeDocument/2006/relationships/hyperlink" Target="https://login.consultant.ru/link/?req=doc&amp;base=LAW&amp;n=503676&amp;date=08.07.2025&amp;dst=100164&amp;field=134&amp;demo=2" TargetMode = "External"/>
	<Relationship Id="rId19" Type="http://schemas.openxmlformats.org/officeDocument/2006/relationships/hyperlink" Target="https://login.consultant.ru/link/?req=doc&amp;base=LAW&amp;n=503676&amp;date=08.07.2025&amp;dst=100220&amp;field=134&amp;demo=2" TargetMode = "External"/>
	<Relationship Id="rId20" Type="http://schemas.openxmlformats.org/officeDocument/2006/relationships/hyperlink" Target="https://login.consultant.ru/link/?req=doc&amp;base=LAW&amp;n=503676&amp;date=08.07.2025&amp;dst=29&amp;field=134&amp;demo=2" TargetMode = "External"/>
	<Relationship Id="rId21" Type="http://schemas.openxmlformats.org/officeDocument/2006/relationships/hyperlink" Target="https://login.consultant.ru/link/?req=doc&amp;base=LAW&amp;n=503676&amp;date=08.07.2025&amp;dst=100214&amp;field=134&amp;demo=2" TargetMode = "External"/>
	<Relationship Id="rId22" Type="http://schemas.openxmlformats.org/officeDocument/2006/relationships/hyperlink" Target="https://login.consultant.ru/link/?req=doc&amp;base=LAW&amp;n=503676&amp;date=08.07.2025&amp;dst=40&amp;field=134&amp;demo=2" TargetMode = "External"/>
	<Relationship Id="rId23" Type="http://schemas.openxmlformats.org/officeDocument/2006/relationships/hyperlink" Target="https://login.consultant.ru/link/?req=doc&amp;base=LAW&amp;n=484451&amp;date=08.07.2025&amp;dst=100008&amp;field=134&amp;demo=2" TargetMode = "External"/>
	<Relationship Id="rId24" Type="http://schemas.openxmlformats.org/officeDocument/2006/relationships/hyperlink" Target="https://login.consultant.ru/link/?req=doc&amp;base=LAW&amp;n=482688&amp;date=08.07.2025&amp;demo=2" TargetMode = "External"/>
	<Relationship Id="rId25" Type="http://schemas.openxmlformats.org/officeDocument/2006/relationships/hyperlink" Target="https://login.consultant.ru/link/?req=doc&amp;base=LAW&amp;n=475054&amp;date=08.07.2025&amp;dst=10033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07.07.2025 N 210-ФЗ
"О внесении изменений в отдельные законодательные акты Российской Федерации"</dc:title>
  <dcterms:created xsi:type="dcterms:W3CDTF">2025-07-08T16:30:29Z</dcterms:created>
</cp:coreProperties>
</file>