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18.06.2025 N 380н</w:t>
              <w:br/>
              <w:t xml:space="preserve">"Об утверждении Стандарта оказания услуги по ортезированию инвалидов, получивших травму, ранение, контузию, увечье в связи с боевыми действиями"</w:t>
              <w:br/>
              <w:t xml:space="preserve">(Зарегистрировано в Минюсте России 07.07.2025 N 82825)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11.07.2025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7 июля 2025 г. N 82825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18 июня 2025 г. N 380н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ОКАЗАНИЯ УСЛУГИ ПО ОРТЕЗИРОВАНИЮ ИНВАЛИДОВ, ПОЛУЧИВШИХ</w:t>
      </w:r>
    </w:p>
    <w:p>
      <w:pPr>
        <w:pStyle w:val="2"/>
        <w:jc w:val="center"/>
      </w:pPr>
      <w:r>
        <w:rPr>
          <w:sz w:val="24"/>
        </w:rPr>
        <w:t xml:space="preserve">ТРАВМУ, РАНЕНИЕ, КОНТУЗИЮ, УВЕЧЬЕ В СВЯЗИ</w:t>
      </w:r>
    </w:p>
    <w:p>
      <w:pPr>
        <w:pStyle w:val="2"/>
        <w:jc w:val="center"/>
      </w:pPr>
      <w:r>
        <w:rPr>
          <w:sz w:val="24"/>
        </w:rPr>
        <w:t xml:space="preserve">С БОЕВЫМИ ДЕЙСТВИЯМИ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10.3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</w:t>
      </w:r>
      <w:hyperlink w:history="0" w:anchor="P30" w:tooltip="СТАНДАРТ">
        <w:r>
          <w:rPr>
            <w:sz w:val="24"/>
            <w:color w:val="0000ff"/>
          </w:rPr>
          <w:t xml:space="preserve">Стандарт</w:t>
        </w:r>
      </w:hyperlink>
      <w:r>
        <w:rPr>
          <w:sz w:val="24"/>
        </w:rPr>
        <w:t xml:space="preserve"> оказания услуги по ортезированию инвалидов, получивших травму, ранение, контузию, увечье в связи с боевыми действиями.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18 июня 2025 г. N 380н</w:t>
      </w:r>
    </w:p>
    <w:p>
      <w:pPr>
        <w:pStyle w:val="0"/>
        <w:jc w:val="both"/>
      </w:pPr>
      <w:r>
        <w:rPr>
          <w:sz w:val="24"/>
        </w:rPr>
      </w:r>
    </w:p>
    <w:bookmarkStart w:id="30" w:name="P30"/>
    <w:bookmarkEnd w:id="30"/>
    <w:p>
      <w:pPr>
        <w:pStyle w:val="2"/>
        <w:jc w:val="center"/>
      </w:pPr>
      <w:r>
        <w:rPr>
          <w:sz w:val="24"/>
        </w:rPr>
        <w:t xml:space="preserve">СТАНДАРТ</w:t>
      </w:r>
    </w:p>
    <w:p>
      <w:pPr>
        <w:pStyle w:val="2"/>
        <w:jc w:val="center"/>
      </w:pPr>
      <w:r>
        <w:rPr>
          <w:sz w:val="24"/>
        </w:rPr>
        <w:t xml:space="preserve">ОКАЗАНИЯ УСЛУГИ ПО ОРТЕЗИРОВАНИЮ ИНВАЛИДОВ, ПОЛУЧИВШИХ</w:t>
      </w:r>
    </w:p>
    <w:p>
      <w:pPr>
        <w:pStyle w:val="2"/>
        <w:jc w:val="center"/>
      </w:pPr>
      <w:r>
        <w:rPr>
          <w:sz w:val="24"/>
        </w:rPr>
        <w:t xml:space="preserve">ТРАВМУ, РАНЕНИЕ, КОНТУЗИЮ, УВЕЧЬЕ В СВЯЗИ</w:t>
      </w:r>
    </w:p>
    <w:p>
      <w:pPr>
        <w:pStyle w:val="2"/>
        <w:jc w:val="center"/>
      </w:pPr>
      <w:r>
        <w:rPr>
          <w:sz w:val="24"/>
        </w:rPr>
        <w:t xml:space="preserve">С БОЕВЫМИ ДЕЙСТВИЯМИ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Стандарт оказания услуги по ортезированию инвалидов, получивших травму, ранение, контузию, увечье в связи с боевыми действиями (далее соответственно - стандарт, услуга, инвалид) определяет основные требования к содержанию, объему, периодичности и качеству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Стандарт разработан в соответствии с: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8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ноября 1995 г. N 181-ФЗ "О социальной защите инвалидов 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9" w:tooltip="Федеральный закон от 25.12.2023 N 651-ФЗ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25 декабря 2023 г. N 651-ФЗ "О внесении изменений в отдельные законодательные акты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10" w:tooltip="Федеральный закон от 21.11.2011 N 323-ФЗ (ред. от 28.12.2024) &quot;Об основах охраны здоровья граждан в Российской Федерации&quot; (с изм. и доп., вступ. в силу с 01.07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 ноября 2011 г. N 323-ФЗ "Об основах охраны здоровья граждан в Российской Федерации";</w:t>
      </w:r>
    </w:p>
    <w:p>
      <w:pPr>
        <w:pStyle w:val="0"/>
        <w:spacing w:before="240" w:line-rule="auto"/>
        <w:ind w:firstLine="540"/>
        <w:jc w:val="both"/>
      </w:pPr>
      <w:hyperlink w:history="0" r:id="rId11" w:tooltip="Указ Президента РФ от 03.04.2023 N 232 (ред. от 20.03.2025) &quot;О создании Государственного фонда поддержки участников специальной военной операции &quot;Защитники Отечества&quot; (с изм. и доп., вступ. в силу с 01.05.2025)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3 апреля 2023 г. N 232 "О создании Государственного фонда поддержки участников специальной военной операции "Защитники Отечества";</w:t>
      </w:r>
    </w:p>
    <w:p>
      <w:pPr>
        <w:pStyle w:val="0"/>
        <w:spacing w:before="240" w:line-rule="auto"/>
        <w:ind w:firstLine="540"/>
        <w:jc w:val="both"/>
      </w:pPr>
      <w:hyperlink w:history="0" r:id="rId12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7 апреля 2008 г. N 240 "О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изделиями";</w:t>
      </w:r>
    </w:p>
    <w:p>
      <w:pPr>
        <w:pStyle w:val="0"/>
        <w:spacing w:before="240" w:line-rule="auto"/>
        <w:ind w:firstLine="540"/>
        <w:jc w:val="both"/>
      </w:pPr>
      <w:hyperlink w:history="0" r:id="rId13" w:tooltip="Постановление Правительства РФ от 31.07.2024 N 1033 &quot;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31 июля 2024 г. N 1033 "Об утверждении перечня отдельных основных направлений комплексной реабилитации и абилитации инвалидов, по которым разрабатываются стандарты оказания услуг по отдельным основным направлениям комплексной реабилитации и абилитации инвалидов и детей-инвалидов, стандарты оказания услуг по ранней помощи детям и их семьям, перечня федеральных органов исполнительной власти, осуществляющих разработку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а также правил разработки стандартов оказания услуг по отдельным основным направлениям комплексной реабилитации и абилитации инвалидов и детей-инвалидов, стандартов оказания услуг по ранней помощи детям и их семьям, включая определение их структуры и содержания";</w:t>
      </w:r>
    </w:p>
    <w:p>
      <w:pPr>
        <w:pStyle w:val="0"/>
        <w:spacing w:before="240" w:line-rule="auto"/>
        <w:ind w:firstLine="540"/>
        <w:jc w:val="both"/>
      </w:pPr>
      <w:hyperlink w:history="0" r:id="rId14" w:tooltip="Приказ Минздрава России от 12.11.2012 N 901н (ред. от 21.02.2020) &quot;Об утверждении Порядка оказания медицинской помощи населению по профилю &quot;травматология и ортопедия&quot; (Зарегистрировано в Минюсте России 25.12.2012 N 2637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12 ноября 2012 г. N 901н "Об утверждении Порядка оказания медицинской помощи населению по профилю "травматология и ортопедия" (зарегистрирован Министерством юстиции Российской Федерации 25 декабря 2012 г., регистрационный N 26374) с изменениями, внесенными приказом Министерства здравоохранения Российской Федерации от 21 февраля 2020 г. N 114н (зарегистрирован Министерством юстиции Российской Федерации 28 июля 2020 г., регистрационный N 59083);</w:t>
      </w:r>
    </w:p>
    <w:p>
      <w:pPr>
        <w:pStyle w:val="0"/>
        <w:spacing w:before="240" w:line-rule="auto"/>
        <w:ind w:firstLine="540"/>
        <w:jc w:val="both"/>
      </w:pPr>
      <w:hyperlink w:history="0" r:id="rId15" w:tooltip="Приказ Минздрава России от 15.11.2012 N 922н (ред. от 21.02.2020) &quot;Об утверждении Порядка оказания медицинской помощи взрослому населению по профилю &quot;хирургия&quot; (Зарегистрировано в Минюсте России 17.04.2013 N 28161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15 ноября 2012 г. N 922н "Об утверждении Порядка оказания медицинской помощи взрослому населению по профилю "хирургия" (зарегистрирован Министерством юстиции Российской Федерации 17 апреля 2013 г., регистрационный N 28161) с изменениями, внесенными приказом Министерства здравоохранения Российской Федерации от 21 февраля 2020 г. N 114н (зарегистрирован в Министерстве юстиции Российской Федерации 28 июля 2020 г., регистрационный N 59083);</w:t>
      </w:r>
    </w:p>
    <w:p>
      <w:pPr>
        <w:pStyle w:val="0"/>
        <w:spacing w:before="240" w:line-rule="auto"/>
        <w:ind w:firstLine="540"/>
        <w:jc w:val="both"/>
      </w:pPr>
      <w:hyperlink w:history="0" r:id="rId16" w:tooltip="Приказ Минздрава России от 15.11.2012 N 923н &quot;Об утверждении Порядка оказания медицинской помощи взрослому населению по профилю &quot;терапия&quot; (Зарегистрировано в Минюсте России 29.12.2012 N 2648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15 ноября 2012 года N 923н "Об утверждении Порядка оказания медицинской помощи взрослому населению по профилю "терапия" (зарегистрирован в Министерстве юстиции Российской Федерации 29 декабря 2012 г., регистрационный N 26482);</w:t>
      </w:r>
    </w:p>
    <w:p>
      <w:pPr>
        <w:pStyle w:val="0"/>
        <w:spacing w:before="240" w:line-rule="auto"/>
        <w:ind w:firstLine="540"/>
        <w:jc w:val="both"/>
      </w:pPr>
      <w:hyperlink w:history="0" r:id="rId17" w:tooltip="Приказ Минздрава России от 15.11.2012 N 926н (ред. от 10.03.2025) &quot;Об утверждении Порядка оказания медицинской помощи взрослому населению при заболеваниях нервной системы&quot; (Зарегистрировано в Минюсте России 23.01.2013 N 2669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15 ноября 2012 г. N 926н "Об утверждении Порядка оказания медицинской помощи взрослому населению при заболеваниях нервной системы" (зарегистрирован Министерством юстиции Российской Федерации 23 января 2013 г., регистрационный N 26692) с изменениями, внесенными приказом Министерства здравоохранения Российской Федерации от 10 марта 2025 г. N 102н (зарегистрирован Министерством юстиции Российской Федерации 8 апреля 2025 г., регистрационный N 81778);</w:t>
      </w:r>
    </w:p>
    <w:p>
      <w:pPr>
        <w:pStyle w:val="0"/>
        <w:spacing w:before="240" w:line-rule="auto"/>
        <w:ind w:firstLine="540"/>
        <w:jc w:val="both"/>
      </w:pPr>
      <w:hyperlink w:history="0" r:id="rId18" w:tooltip="Приказ Минздрава России от 06.06.2012 N 4н (ред. от 07.07.2020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сам в зависимости от потенциального риска их применения&quot;) (Зарегистрировано в Минюсте России 09.07.2012 N 2485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6 июня 2012 г. N 4н "Об утверждении номенклатурной классификации медицинских изделий" (зарегистрирован Министерством юстиции Российской Федерации 9 июля 2012 г., регистрационный N 24852) с изменениями, внесенными приказами Министерства здравоохранения Российской Федерации от 25 сентября 2014 г. N 557н (зарегистрирован Министерством юстиции Российской Федерации 17 декабря 2014 г., регистрационный N 35201) и от 7 июля 2020 г. N 686н (зарегистрирован Министерством юстиции Российской Федерации 10 августа 2020 г., регистрационный N 59225) (далее - приказ Минздрава России N 4н);</w:t>
      </w:r>
    </w:p>
    <w:p>
      <w:pPr>
        <w:pStyle w:val="0"/>
        <w:spacing w:before="240" w:line-rule="auto"/>
        <w:ind w:firstLine="540"/>
        <w:jc w:val="both"/>
      </w:pPr>
      <w:hyperlink w:history="0" r:id="rId19" w:tooltip="Приказ Минздрава России от 10.02.2016 N 83н &quot;Об утверждении Квалификационных требований к медицинским и фармацевтическим работникам со средним медицинским и фармацевтическим образованием&quot; (Зарегистрировано в Минюсте России 09.03.2016 N 4133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10 февраля 2016 г. N 83н "Об утверждении квалификационных требований к медицинским и фармацевтическим работникам со средним медицинским и фармацевтическим образованием (зарегистрирован Министерством юстиции Российской Федерации 9 марта 2016 г., регистрационный N 41337);</w:t>
      </w:r>
    </w:p>
    <w:p>
      <w:pPr>
        <w:pStyle w:val="0"/>
        <w:spacing w:before="240" w:line-rule="auto"/>
        <w:ind w:firstLine="540"/>
        <w:jc w:val="both"/>
      </w:pPr>
      <w:hyperlink w:history="0" r:id="rId20" w:tooltip="Приказ Минтруда России от 13.02.2018 N 86н (ред. от 10.07.2024) &quot;Об утверждении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 г. N 2347-р&quot; (Зарегистрировано в Минюсте России 14.03.2018 N 50338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13 февраля 2018 г. N 86н "Об утверждении классификации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2005 г. N 2347-р" (зарегистрирован Министерством юстиции Российской Федерации в 14 марта 2018 г., регистрационный N 50338) с изменениями, внесенными приказами Министерства труда и социальной защиты Российской Федерации от 6 мая 2019 г. N 307н (зарегистрирован Министерством юстиции Российской Федерации 31 мая 2019 г., регистрационный N 54799), от 5 марта 2021 г. N 108н зарегистрирован Министерством юстиции Российской Федерации 8 апреля 2021 г., регистрационный N 63023), от 4 октября 2021 г. N 670н зарегистрирован Министерством юстиции Российской Федерации 11 января 2022 г., регистрационный N 66805), от 6 мая 2022 г. N 288н зарегистрирован Министерством юстиции Российской Федерации 10 июня 2022 г., регистрационный N 68821), от 22 июня 2022 г. N 371н зарегистрирован Министерством юстиции Российской Федерации 10 ноября 2022 г., регистрационный N 70915), от 1 февраля 2023 г. N 56н зарегистрирован Министерством юстиции Российской Федерации 9 марта 2023 г., регистрационный N 72556), от 10 июля 2024 г. N 346н зарегистрирован Министерством юстиции Российской Федерации 14 августа 2024 г., регистрационный N 79138);</w:t>
      </w:r>
    </w:p>
    <w:p>
      <w:pPr>
        <w:pStyle w:val="0"/>
        <w:spacing w:before="240" w:line-rule="auto"/>
        <w:ind w:firstLine="540"/>
        <w:jc w:val="both"/>
      </w:pPr>
      <w:hyperlink w:history="0" r:id="rId21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3 сентября 2018 г. N 572н "Об утверждении профессионального стандарта "Специалист по медицинской реабилитации" (зарегистрирован Министерством юстиции Российской Федерации 17 сентября 2018 г. регистрационный N 52162);</w:t>
      </w:r>
    </w:p>
    <w:p>
      <w:pPr>
        <w:pStyle w:val="0"/>
        <w:spacing w:before="240" w:line-rule="auto"/>
        <w:ind w:firstLine="540"/>
        <w:jc w:val="both"/>
      </w:pPr>
      <w:hyperlink w:history="0" r:id="rId22" w:tooltip="Приказ Минтруда России от 23.07.2019 N 521н (ред. от 05.03.2021) &quot;Об утверждении перечня технических средств реабилитации, протезов и протезно-ортопедических изделий, в отношении которых уполномоченным органом проводится медико-техническая экспертиза для определения соответствия приобретенного инвалидом (ветераном) за собственный счет технического средства реабилитации, протеза и протезно-ортопедического изделия предоставляемым уполномоченным органом техническим средствам реабилитации, протезам и протезно-о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23 июля 2019 г. N 521н "Об утверждении перечня технических средств реабилитации, протезов и протезно-ортопедических изделий, в отношении которых уполномоченным органом проводится медико-техническая экспертиза для определения соответствия приобретенного инвалидом (ветераном) за собственный счет технического средства реабилитации, протеза и протезно-ортопедического изделия предоставляемым уполномоченным органом техническим средствам реабилитации, протезам и протезно-ортопедическим изделиям, а также подлежащих замене по истечении установленного срока пользования, если необходимость замены подтверждена заключением медико-технической экспертизы" (зарегистрирован Министерством юстиции Российской Федерации 15 августа 2019 г., регистрационный N 55638) с изменениями, внесенными приказами Министерства труда и социальной защиты Российской Федерации от 29 апреля 2020 г. N 227н (зарегистрирован Министерством юстиции Российской Федерации 2 июня 2020 г., регистрационный N 58538) и от 5 марта 2021 г. N 108н (зарегистрирован Министерством юстиции Российской Федерации 8 апреля 2021 г., регистрационный N 63023);</w:t>
      </w:r>
    </w:p>
    <w:p>
      <w:pPr>
        <w:pStyle w:val="0"/>
        <w:spacing w:before="240" w:line-rule="auto"/>
        <w:ind w:firstLine="540"/>
        <w:jc w:val="both"/>
      </w:pPr>
      <w:hyperlink w:history="0" r:id="rId23" w:tooltip="Приказ Минздрава России от 31.07.2020 N 788н (ред. от 07.11.2022) &quot;Об утверждении Порядка организации медицинской реабилитации взрослых&quot; (Зарегистрировано в Минюсте России 25.09.2020 N 60039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31 июля 2020 г. N 788н "Об утверждении Порядка организации медицинской реабилитации взрослых" (зарегистрирован Министерством юстиции Российской Федерации 25 сентября 2020 г., регистрационный N 60039) с изменениями, внесенными приказом Министерства здравоохранения Российской Федерации от 7 ноября 2022 г. N 727н (зарегистрирован Министерством юстиции Российской Федерации 9 декабря 2022 г., регистрационный N 71434);</w:t>
      </w:r>
    </w:p>
    <w:p>
      <w:pPr>
        <w:pStyle w:val="0"/>
        <w:spacing w:before="240" w:line-rule="auto"/>
        <w:ind w:firstLine="540"/>
        <w:jc w:val="both"/>
      </w:pPr>
      <w:hyperlink w:history="0" r:id="rId24" w:tooltip="Приказ Минтруда России от 05.03.2021 N 107н (ред. от 10.04.2025) &quot;Об утверждении Сроков пользования техническими средствами реабилитации, протезами и протезно-ортопедическими изделиями&quot; (Зарегистрировано в Минюсте России 08.04.2021 N 6302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5 марта 2021 г. N 107н "Об утверждении Сроков пользования техническими средствами реабилитации, протезами и протезно-ортопедическими изделиями" (зарегистрирован Министерством юстиции Российской Федерации 8 апреля 2021 г., регистрационный N 63022) с изменениями, внесенными приказами Министерства труда и социальной защиты Российской Федерации от 4 октября 2021 г. N 670н (зарегистрирован Министерством юстиции Российской Федерации 11 января 2022 г., регистрационный N 66805), от 6 мая 2022 г. N 288н (зарегистрирован Министерством юстиции Российской Федерации 10 июня 2022 г., регистрационный N 68821), от 22 июня 2022 г. N N 371н (зарегистрирован Министерством юстиции Российской Федерации 10 ноября 2022 г., регистрационный N 70915), от 1 февраля 2023 г. N 56н (зарегистрирован Министерством юстиции Российской Федерации 9 марта 2023 г., регистрационный N 72556), от 21 июня 2023 N 535н (зарегистрирован Министерством юстиции Российской Федерации 28 июня 2023 г., регистрационный N 74017), от 10 июля 2024 г. N 346н (зарегистрирован Министерством юстиции Российской Федерации 14 августа 2024 г., регистрационный N 79138), от 5 декабря 2024 г. N 671н (зарегистрирован Министерством юстиции Российской Федерации 15 января 2025 г., регистрационный N 80910), от 10 апреля 2025 г. N 199н зарегистрирован Министерством юстиции Российской Федерации 14 мая 2025 г., регистрационный N 82167);</w:t>
      </w:r>
    </w:p>
    <w:p>
      <w:pPr>
        <w:pStyle w:val="0"/>
        <w:spacing w:before="240" w:line-rule="auto"/>
        <w:ind w:firstLine="540"/>
        <w:jc w:val="both"/>
      </w:pPr>
      <w:hyperlink w:history="0" r:id="rId25" w:tooltip="Приказ Минздрава России от 14.10.2022 N 668н &quot;Об утверждении Порядка оказания медицинской помощи при психических расстройствах и расстройствах поведения&quot; (Зарегистрировано в Минюсте России 14.11.2022 N 70940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14 октября 2022 г. N 668н "Об утверждении Порядка оказания медицинской помощи при психических расстройствах и расстройствах поведения" (зарегистрирован Министерством юстиции Российской Федерации 14 ноября 2022 г., регистрационный N 70940);</w:t>
      </w:r>
    </w:p>
    <w:p>
      <w:pPr>
        <w:pStyle w:val="0"/>
        <w:spacing w:before="240" w:line-rule="auto"/>
        <w:ind w:firstLine="540"/>
        <w:jc w:val="both"/>
      </w:pPr>
      <w:hyperlink w:history="0" r:id="rId26" w:tooltip="Приказ Минтруда России от 28.04.2023 N 429н &quot;Об утверждении требований к социальным координаторам, включая требования к их подготовке, и правила их деятельности&quot; (Зарегистрировано в Минюсте России 09.06.2023 N 73795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28 апреля 2023 г. N 429н "Об утверждении требований к социальным координаторам, включая требования к их подготовке, и правила их деятельности" (зарегистрирован Министерством юстиции Российской Федерации 9 июня 2023 г., регистрационный N 73795);</w:t>
      </w:r>
    </w:p>
    <w:p>
      <w:pPr>
        <w:pStyle w:val="0"/>
        <w:spacing w:before="240" w:line-rule="auto"/>
        <w:ind w:firstLine="540"/>
        <w:jc w:val="both"/>
      </w:pPr>
      <w:hyperlink w:history="0" r:id="rId27" w:tooltip="Приказ Минздрава России от 02.05.2023 N 205н (ред. от 04.12.2023) &quot;Об утверждении Номенклатуры должностей медицинских работников и фармацевтических работников&quot; (Зарегистрировано в Минюсте России 01.06.2023 N 7366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2 мая 2023 г. N 205н "Об утверждении Номенклатуры должностей медицинских работников и фармацевтических работников" (зарегистрирован Министерством юстиции Российской Федерации 1 июня 2023 г., регистрационный N 73664) с изменениями, внесенными приказом Министерства здравоохранения Российской Федерации от 4 декабря 2023 г. N 649н (зарегистрирован Министерством юстиции Российской Федерации 21 декабря 2023 г., регистрационный N 76537), срок действия - до 1 сентября 2025 г. (далее - приказ Минздрава России N 205н);</w:t>
      </w:r>
    </w:p>
    <w:p>
      <w:pPr>
        <w:pStyle w:val="0"/>
        <w:spacing w:before="240" w:line-rule="auto"/>
        <w:ind w:firstLine="540"/>
        <w:jc w:val="both"/>
      </w:pPr>
      <w:hyperlink w:history="0" r:id="rId28" w:tooltip="Приказ Минздрава России от 02.05.2023 N 206н (ред. от 19.02.2024) &quot;Об утверждении Квалификационных требований к медицинским и фармацевтическим работникам с высшим образованием&quot; (Зарегистрировано в Минюсте России 01.06.2023 N 73677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2 мая 2023 г. N 206н "Об утверждении Квалификационных требований к медицинским и фармацевтическим работникам с высшим образованием" (зарегистрирован Министерством юстиции Российской Федерации 1 июня 2023 г., регистрационный N 73677) с изменениями, внесенными приказом Министерства здравоохранения Российской Федерации от 19 февраля 2024 г. N 72н (зарегистрирован Министерством юстиции Российской Федерации 25 марта 2024 г., регистрационный N 77616), срок действия - 1 сентября 2025 г.;</w:t>
      </w:r>
    </w:p>
    <w:p>
      <w:pPr>
        <w:pStyle w:val="0"/>
        <w:spacing w:before="240" w:line-rule="auto"/>
        <w:ind w:firstLine="540"/>
        <w:jc w:val="both"/>
      </w:pPr>
      <w:hyperlink w:history="0" r:id="rId29" w:tooltip="Приказ Минтруда России от 26.07.2024 N 374н &quot;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&quot; (Зарегистрировано в Минюсте России 23.08.2024 N 79273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26 июля 2024 г. N 374н "Об утверждении классификаций и критериев, используемых при осуществлении медико-социальной экспертизы граждан федеральными учреждениями медико-социальной экспертизы" (зарегистрирован Министерством юстиции Российской Федерации 23 августа 2025 г., регистрационный N 79273);</w:t>
      </w:r>
    </w:p>
    <w:p>
      <w:pPr>
        <w:pStyle w:val="0"/>
        <w:spacing w:before="240" w:line-rule="auto"/>
        <w:ind w:firstLine="540"/>
        <w:jc w:val="both"/>
      </w:pPr>
      <w:hyperlink w:history="0" r:id="rId30" w:tooltip="Приказ Минтруда России от 30.07.2024 N 377н &quot;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&quot; (Зарегистрировано в Минюсте России 02.09.2024 N 79366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30 июля 2024 г. N 377н "Об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(ребенка-инвалида) и критериев оценки ее эффективности" (зарегистрирован Министерством юстиции Российской Федерации 2 сентября 2024 г., регистрационный N 79366);</w:t>
      </w:r>
    </w:p>
    <w:p>
      <w:pPr>
        <w:pStyle w:val="0"/>
        <w:spacing w:before="240" w:line-rule="auto"/>
        <w:ind w:firstLine="540"/>
        <w:jc w:val="both"/>
      </w:pPr>
      <w:hyperlink w:history="0" r:id="rId31" w:tooltip="Приказ Минтруда России от 18.09.2024 N 466н &quot;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18 сентября 2024 г. N 466н "Об утверждении порядка разработки и реализации индивидуальной программы реабилитации или абилитации инвалида, индивидуальной программы реабилитации или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абилитации инвалида и индивидуальной программы реабилитации и абилитации ребенка-инвалида, включая мониторинг такой реализации и предоставление информации о результатах мониторинга в высший орган субъекта Российской Федерации" (зарегистрирован Министерством юстиции Российской Федерации 4 февраля 2025 г., регистрационный N 81142);</w:t>
      </w:r>
    </w:p>
    <w:p>
      <w:pPr>
        <w:pStyle w:val="0"/>
        <w:spacing w:before="240" w:line-rule="auto"/>
        <w:ind w:firstLine="540"/>
        <w:jc w:val="both"/>
      </w:pPr>
      <w:hyperlink w:history="0" r:id="rId32" w:tooltip="Приказ Минтруда России от 10.12.2024 N 687н (ред. от 10.04.2025) &quot;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&quot; (Зарегистрировано в Минюсте России 12.03.2025 N 8152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труда и социальной защиты Российской Федерации от 10 декабря 2024 г. N 687н "Об утверждении перечня медицинских и социальных показаний, медицинских противопоказаний для обеспечения инвалидов техническими средствами реабилитации, технических решений, в том числе специальных, конструктивных особенностей и параметров технических средств реабилитации, используемых в целях устранения или возможно более полной компенсации стойких ограничений жизнедеятельности инвалидов" (зарегистрирован Министерством юстиции Российской Федерации 12 марта 2025 г., регистрационный N 81522) с изменениями, внесенными приказом Министерства труда и социальной защиты Российской Федерации от 10 апреля 2025 г. N 199н (зарегистрирован Министерством юстиции Российской Федерации 14 мая 2025 г., регистрационный N 82167).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Стандарт распространяется на поставщиков услуг по ортезированию, предоставляющих услугу по ортезированию инвалидов, получивших травму, ранение, контузию, увечье в связи с боевыми действиями, в рамках реализации мероприятий по основному направлению комплексной реабилитации и абилитации "Протезно-ортопедическая помощь инвалидам" (ортезирование).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Термины и определения &lt;1&gt;: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33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Статья 9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протезно-ортопедическая помощь инвалидам - комплекс мероприятий и услуг, включая протезирование инвалидов, ортезирование инвалидов, слухопротезирование инвалидов, направленных на достижение ими возможно более полной компенсации стойких ограничений жизнедеятельности, обусловленных заболеваниями, в том числе специальных мероприятий по подготовке к протезированию, ортезированию, производству (изготовлению), подгонке (настройке) протезно-ортопедических изделий, обучение инвалидов безопасному и эффективному пользованию протезно-ортопедическими изделиями, предоставление инвалидам протезно-ортопедических изделий, а также техническое обслуживание, ремонт, замена таких изделий;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ортезирование инвалидов - комплекс мероприятий и услуг, направленных на возможно более полную компенсацию ограничений жизнедеятельности инвалидов посредством применения технических средств для фиксации, разгрузки, коррекции сегментов конечностей и (или) туловища, активизации связанных с движением функций, косметического устранения нарушений структуры сегментов конечностей и (или) туловища при патологических состояниях сегментов конечностей и (или) туловища, в том числе с помощью сложной ортопедической обуви, специальной одежды для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 стандарте используются следующие сокращения: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вкладной башмачок - обувное ортопедическое изделие, охватывающее культю стопы и нижнюю треть голени, конструкция которого учитывает отсутствие переднего и среднего отделов стопы;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головодержатель - техническое средство реабилитации, выполненное в виде гильзы с элементами крепления, предназначенное для разгрузки, фиксации, вытяжения шейного отдела позвоночника, удержания головы в приданном положении ортопедической коррекции;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ИПРА - индивидуальная программа реабилитации и абилитации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консультирование - реабилитационное мероприятие, заключающееся в проработке индивидуальных вопросов, касающихся реабилитации и абилитации инвалида в рамках различных реабилитационных направлений (социально-средовая, социально-педагогическая, социально-психологическая, социально-бытовая реабилитация и абилитация, ортезирование), постановке конкретных целей, запланированных в рамках проведения реабилитационного курса, обсуждении с инвалидом (законным (уполномоченным) представителем) ожидаемых результатов, дальнейших реабилитационных планов и перспектив в целях социальной адаптации и интеграции инвалида в общество;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МСЭ - медико-социальная экспертиза;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междисциплинарная команда - структурно-функциональная единица организации, оказывающей услуги по ортезированию, организованная на функциональной основе и объединяющая специалистов медицинского и немедицинского профиля, входящих в состав обязательных специалистов настоящего стандарта, с возможностью привлечения рекомендуемых специалистов для оказания инвалиду реабилитационных (абилитационных) услуг по ортезированию на основе комплексного междисциплинарного подхода;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обязательные специалисты - специалисты, которые в соответствии с уровнем своего образования и профессиональных компетенций могут осуществлять мероприятия, составляющие услугу по ортезированию и наличие которых у поставщиков услуги по ортезированию является обязательным для реализации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ОДА - опорно-двигательный аппарат;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ортез - техническое средство реабилитации, используемое для изменения структурных и функциональных характеристик нервно-мышечной и скелетных систем и обеспечивающее, в зависимости от медицинских показаний, ортопедическую коррекцию, разгрузку, фиксацию, активизацию двигательных функций, косметичность;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ортопедический аппарат - техническое средство реабилитации, выполненное в виде гильз различной локализации и имеющее шарниры, надеваемое на сегмент (сегменты) или всю конечность человека, предназначенное для обеспечения двигательных функций, разгрузки, фиксации в приданном положении ортопедической коррекции;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ортопедический аппарат с микропроцессорным управлением - техническое средство реабилитации, выполненное в виде гильз различной локализации, надеваемое на сегмент (сегменты) или всю конечность человека и имеющее шарниры с микропроцессорным управлением, предназначенное для обеспечения двигательных функций;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ортопедический корсет - техническое средство реабилитации, выполненное в виде гильзы на туловище мягкой, полужесткой или жесткой фиксации, имеющей тазовый посадочный контур, детали крепления, дополнительные элементы, предназначенное для фиксации, стабилизации, разгрузки, ортопедической коррекции позвоночника на различных уровнях;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ортопедический бандаж - техническое средство реабилитации, выполненное в виде эластичного пояса, эластичной гильзы, имеющее, при необходимости, специальные вставки, пелоты, предназначенное для поддержания мягких тканей;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обтуратор - техническое средство реабилитации, выполненное в виде профилированной пластины с креплениями, предназначенное для прикрытия дефектов костей черепа или грудной клетки, защиты мозга или внутренних органов от механических воздействий;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ПОИ - протезно-ортопедическое изделие;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получатель услуги - инвалид, имеющий в индивидуальной программе реабилитации и абилитации инвалида заключение о нуждаемости в проведении мероприятий по направлению комплексной реабилитации и абилитации "Протезно-ортопедическая помощь инвалидам" (ортезирование);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поставщик услуги по ортезированию - организация, независимо от организационно-правовой формы, формы собственности и ведомственной принадлежности, осуществляющая деятельность по отдельному основному направлению комплексной реабилитации и абилитации инвалидов "Протезно-ортопедическая помощь инвалидам" в соответствии со стандартом;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реклинатор - техническое средство реабилитации, выполненное в виде основания, расположенного на спине туловища, с подмышечными петлями, предназначенное для реклинации, коррекции осанки и разгрузки верхне- и среднегрудного отделов позвоночника в приданном положении ортопедической коррекции;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реабилитационная эффективность ортезирования - степень улучшения функционирования пораженного сегмента опорно-двигательного аппарата, обеспечивающая расширение социально-бытовой деятельности инвалида, формирование или восстановление способности к самообслуживанию и возвращению к профессиональной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рекомендуемые специалисты - специалисты, которые в соответствии с уровнем своего образования и профессиональных компетенций могут осуществлять мероприятия, входящие в состав услуги по ортезированию, и способствовать повышению качества предоставления услуги, но наличие их в организации (у поставщика услуги) не является обязательным для реализации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реабилитационное оборудование - это устройства (технические средства реабилитации, вспомогательные средства, в том числе приборы, аппаратура, приспособления), используемые при выполнении действий при оказании услуги по ортезированию;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сложная ортопедическая обувь - обувь, конструкция которой разработана для конкретного пользователя с учетом патологических отклонений в стопе, голени или бедре, приводящих к стойким выраженным нарушениям статодинамической функции;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специальная одежда для инвалидов - швейное (трикотажное) изделие или совокупность изделий (комплект, костюм), сконструированное (сконструированные) с учетом структурных (анатомических) и функциональных нарушений пользователя и предназначенное (предназначенные) для обеспечения реализации его реабилитационного потенциала;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тутор - техническое средство реабилитации, выполненное в виде гильз (гильзы) различной локации, в котором отсутствуют шарнирные соединения, предназначенное для жесткой фиксации сустава (суставов) и (или) сегмента (сегментов) конечности, их частичной разгрузки в приданном положении коррекции и (или) обеспечения косметичности;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ТСР - техническое средство реабилитации;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ЦРГ - целевая реабилитационная группа.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Наименование ЦРГ инвалидов, в отношении которых применяется стандарт:</w:t>
      </w:r>
    </w:p>
    <w:bookmarkStart w:id="99" w:name="P99"/>
    <w:bookmarkEnd w:id="99"/>
    <w:p>
      <w:pPr>
        <w:pStyle w:val="0"/>
        <w:spacing w:before="240" w:line-rule="auto"/>
        <w:jc w:val="both"/>
      </w:pPr>
      <w:r>
        <w:rPr>
          <w:sz w:val="24"/>
        </w:rPr>
        <w:t xml:space="preserve">ЦРГ 12 - инвалиды, получившие ранение (травму, контузию, увечье) или заболевание в связи с участием в боевых действиях;</w:t>
      </w:r>
    </w:p>
    <w:bookmarkStart w:id="100" w:name="P100"/>
    <w:bookmarkEnd w:id="100"/>
    <w:p>
      <w:pPr>
        <w:pStyle w:val="0"/>
        <w:spacing w:before="240" w:line-rule="auto"/>
        <w:jc w:val="both"/>
      </w:pPr>
      <w:r>
        <w:rPr>
          <w:sz w:val="24"/>
        </w:rPr>
        <w:t xml:space="preserve">ЦРГ 12.2 -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верхних конечностей;</w:t>
      </w:r>
    </w:p>
    <w:bookmarkStart w:id="101" w:name="P101"/>
    <w:bookmarkEnd w:id="101"/>
    <w:p>
      <w:pPr>
        <w:pStyle w:val="0"/>
        <w:spacing w:before="240" w:line-rule="auto"/>
        <w:jc w:val="both"/>
      </w:pPr>
      <w:r>
        <w:rPr>
          <w:sz w:val="24"/>
        </w:rPr>
        <w:t xml:space="preserve">ЦРГ 12.3 -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одной нижней конечности;</w:t>
      </w:r>
    </w:p>
    <w:bookmarkStart w:id="102" w:name="P102"/>
    <w:bookmarkEnd w:id="102"/>
    <w:p>
      <w:pPr>
        <w:pStyle w:val="0"/>
        <w:spacing w:before="240" w:line-rule="auto"/>
        <w:jc w:val="both"/>
      </w:pPr>
      <w:r>
        <w:rPr>
          <w:sz w:val="24"/>
        </w:rPr>
        <w:t xml:space="preserve">ЦРГ 12.4 -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нижних конечностей;</w:t>
      </w:r>
    </w:p>
    <w:bookmarkStart w:id="103" w:name="P103"/>
    <w:bookmarkEnd w:id="103"/>
    <w:p>
      <w:pPr>
        <w:pStyle w:val="0"/>
        <w:spacing w:before="240" w:line-rule="auto"/>
        <w:jc w:val="both"/>
      </w:pPr>
      <w:r>
        <w:rPr>
          <w:sz w:val="24"/>
        </w:rPr>
        <w:t xml:space="preserve">ЦРГ 12.5 - инвалиды, получившие ранение (травму, контузию, увечье) или заболевание в связи с участием в боевых действиях, с последствиями травм, термических и химических ожогов, отморожений конечностей с формированием анкилозов, контрактур и стягивающих рубцов;</w:t>
      </w:r>
    </w:p>
    <w:bookmarkStart w:id="104" w:name="P104"/>
    <w:bookmarkEnd w:id="104"/>
    <w:p>
      <w:pPr>
        <w:pStyle w:val="0"/>
        <w:spacing w:before="240" w:line-rule="auto"/>
        <w:jc w:val="both"/>
      </w:pPr>
      <w:r>
        <w:rPr>
          <w:sz w:val="24"/>
        </w:rPr>
        <w:t xml:space="preserve">ЦРГ 12.6 - инвалиды, получившие ранение (травму, контузию, увечье) или заболевание в связи с участием в боевых действиях, с последствиями спинальной травмы и связанных с ней повреждений спинного мозга;</w:t>
      </w:r>
    </w:p>
    <w:bookmarkStart w:id="105" w:name="P105"/>
    <w:bookmarkEnd w:id="105"/>
    <w:p>
      <w:pPr>
        <w:pStyle w:val="0"/>
        <w:spacing w:before="240" w:line-rule="auto"/>
        <w:jc w:val="both"/>
      </w:pPr>
      <w:r>
        <w:rPr>
          <w:sz w:val="24"/>
        </w:rPr>
        <w:t xml:space="preserve">ЦРГ 12.7 - инвалиды, получившие ранение (травму, контузию, увечье) или заболевание в связи с участием в боевых действиях, с последствиями поражения периферической нервной системы;</w:t>
      </w:r>
    </w:p>
    <w:bookmarkStart w:id="106" w:name="P106"/>
    <w:bookmarkEnd w:id="106"/>
    <w:p>
      <w:pPr>
        <w:pStyle w:val="0"/>
        <w:spacing w:before="240" w:line-rule="auto"/>
        <w:jc w:val="both"/>
      </w:pPr>
      <w:r>
        <w:rPr>
          <w:sz w:val="24"/>
        </w:rPr>
        <w:t xml:space="preserve">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</w:t>
      </w:r>
    </w:p>
    <w:bookmarkStart w:id="107" w:name="P107"/>
    <w:bookmarkEnd w:id="107"/>
    <w:p>
      <w:pPr>
        <w:pStyle w:val="0"/>
        <w:spacing w:before="240" w:line-rule="auto"/>
        <w:jc w:val="both"/>
      </w:pPr>
      <w:r>
        <w:rPr>
          <w:sz w:val="24"/>
        </w:rPr>
        <w:t xml:space="preserve">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</w:t>
      </w:r>
    </w:p>
    <w:bookmarkStart w:id="108" w:name="P108"/>
    <w:bookmarkEnd w:id="108"/>
    <w:p>
      <w:pPr>
        <w:pStyle w:val="0"/>
        <w:spacing w:before="240" w:line-rule="auto"/>
        <w:jc w:val="both"/>
      </w:pPr>
      <w:r>
        <w:rPr>
          <w:sz w:val="24"/>
        </w:rPr>
        <w:t xml:space="preserve">ЦРГ 13 - инвалиды, получившие травму, ранение, контузию, увечье в связи с боевыми действиями;</w:t>
      </w:r>
    </w:p>
    <w:bookmarkStart w:id="109" w:name="P109"/>
    <w:bookmarkEnd w:id="109"/>
    <w:p>
      <w:pPr>
        <w:pStyle w:val="0"/>
        <w:spacing w:before="240" w:line-rule="auto"/>
        <w:jc w:val="both"/>
      </w:pPr>
      <w:r>
        <w:rPr>
          <w:sz w:val="24"/>
        </w:rPr>
        <w:t xml:space="preserve">ЦРГ 13.2 -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верхних конечностей;</w:t>
      </w:r>
    </w:p>
    <w:bookmarkStart w:id="110" w:name="P110"/>
    <w:bookmarkEnd w:id="110"/>
    <w:p>
      <w:pPr>
        <w:pStyle w:val="0"/>
        <w:spacing w:before="240" w:line-rule="auto"/>
        <w:jc w:val="both"/>
      </w:pPr>
      <w:r>
        <w:rPr>
          <w:sz w:val="24"/>
        </w:rPr>
        <w:t xml:space="preserve">ЦРГ 13.3 -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одной нижней конечности;</w:t>
      </w:r>
    </w:p>
    <w:bookmarkStart w:id="111" w:name="P111"/>
    <w:bookmarkEnd w:id="111"/>
    <w:p>
      <w:pPr>
        <w:pStyle w:val="0"/>
        <w:spacing w:before="240" w:line-rule="auto"/>
        <w:jc w:val="both"/>
      </w:pPr>
      <w:r>
        <w:rPr>
          <w:sz w:val="24"/>
        </w:rPr>
        <w:t xml:space="preserve">ЦРГ 13.4 -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нижних конечностей;</w:t>
      </w:r>
    </w:p>
    <w:bookmarkStart w:id="112" w:name="P112"/>
    <w:bookmarkEnd w:id="112"/>
    <w:p>
      <w:pPr>
        <w:pStyle w:val="0"/>
        <w:spacing w:before="240" w:line-rule="auto"/>
        <w:jc w:val="both"/>
      </w:pPr>
      <w:r>
        <w:rPr>
          <w:sz w:val="24"/>
        </w:rPr>
        <w:t xml:space="preserve">ЦРГ 13.5 - инвалиды, получившие травму, ранение, контузию, увечье в связи с боевыми действиями, вследствие травм, термических и химических ожогов, отморожений конечностей с формированием анкилозов, контрактур и стягивающих рубцов;</w:t>
      </w:r>
    </w:p>
    <w:bookmarkStart w:id="113" w:name="P113"/>
    <w:bookmarkEnd w:id="113"/>
    <w:p>
      <w:pPr>
        <w:pStyle w:val="0"/>
        <w:spacing w:before="240" w:line-rule="auto"/>
        <w:jc w:val="both"/>
      </w:pPr>
      <w:r>
        <w:rPr>
          <w:sz w:val="24"/>
        </w:rPr>
        <w:t xml:space="preserve">ЦРГ 13.6 - инвалиды, получившие травму, ранение, контузию, увечье в связи с боевыми действиями, вследствие спинальной травмы и связанных с ней повреждений спинного мозга;</w:t>
      </w:r>
    </w:p>
    <w:bookmarkStart w:id="114" w:name="P114"/>
    <w:bookmarkEnd w:id="114"/>
    <w:p>
      <w:pPr>
        <w:pStyle w:val="0"/>
        <w:spacing w:before="240" w:line-rule="auto"/>
        <w:jc w:val="both"/>
      </w:pPr>
      <w:r>
        <w:rPr>
          <w:sz w:val="24"/>
        </w:rPr>
        <w:t xml:space="preserve">ЦРГ 13.7 - инвалиды, получившие травму, ранение, контузию, увечье в связи с боевыми действиями, вследствие поражения периферической нервной системы;</w:t>
      </w:r>
    </w:p>
    <w:bookmarkStart w:id="115" w:name="P115"/>
    <w:bookmarkEnd w:id="115"/>
    <w:p>
      <w:pPr>
        <w:pStyle w:val="0"/>
        <w:spacing w:before="240" w:line-rule="auto"/>
        <w:jc w:val="both"/>
      </w:pPr>
      <w:r>
        <w:rPr>
          <w:sz w:val="24"/>
        </w:rPr>
        <w:t xml:space="preserve">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</w:t>
      </w:r>
    </w:p>
    <w:bookmarkStart w:id="116" w:name="P116"/>
    <w:bookmarkEnd w:id="116"/>
    <w:p>
      <w:pPr>
        <w:pStyle w:val="0"/>
        <w:spacing w:before="240" w:line-rule="auto"/>
        <w:jc w:val="both"/>
      </w:pPr>
      <w:r>
        <w:rPr>
          <w:sz w:val="24"/>
        </w:rPr>
        <w:t xml:space="preserve">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II. Форма оказания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Форма оказания услуги: стационарная, полустационарная.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Стационарная форма - в условиях круглосуточного пребывания, в том числе с сопровождающим лицом в случае невозможности получения услуги в полустационарной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Полустационарная форма - пребывание инвалида в определенное время суток в условиях дневного стационара в случае возможности посещения инвалидом поставщика услуги по ортезированию с учетом территориальной и транспортной доступности.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При реализации стандарта, медицинская помощь может оказываться в следующих условиях &lt;2&gt;: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34" w:tooltip="Федеральный закон от 21.11.2011 N 323-ФЗ (ред. от 28.12.2024) &quot;Об основах охраны здоровья граждан в Российской Федерации&quot; (с изм. и доп., вступ. в силу с 01.07.2025) {КонсультантПлюс}">
        <w:r>
          <w:rPr>
            <w:sz w:val="24"/>
            <w:color w:val="0000ff"/>
          </w:rPr>
          <w:t xml:space="preserve">Статья 32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амбулаторно (в условиях, не предусматривающих круглосуточного медицинского наблюдения и лечения);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дневном стационаре (в условиях, предусматривающих медицинское наблюдение и лечение в дневное время, но не требующих круглосуточного медицинского наблюдения и лечения);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стационарно (в условиях, обеспечивающих круглосуточное медицинское наблюдение и лечение).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III. Условия предоставления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 Услуга оказывается инвалидам, имеющим в ИПРА заключение о нуждаемости в проведении мероприятий по ортезированию.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Поставщик услуги по ортезированию осуществляет медицинскую деятельность на основании лицензии на осуществление медицинской деятельности, выданной в порядке, установленном законодательством Российской Федерации о лицензировании отдельных видов деятельности, в отношении отдельных видов работ (услуг), составляющих медицинскую деятельность.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При предоставлении услуги соблюдаются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услуга осуществляется в соответствии с рекомендациями в ИПРА с учетом общей цели реабилитации, которая определяется специалистами федеральных учреждений МСЭ при проведении экспертно-реабилитационной диагностики;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оформление на каждого инвалида документации при оказании услуг по отдельным основным направлениям комплексной реабилитации и абилитации инвалидов, утверждаемой федеральным органом государственной власти в области социальной защиты инвалидов, &lt;3&gt; и иной документации, включая медицинскую (заказа, учетной и отчетной документации) (далее - документация по ортезированию);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35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Статья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контроля качества ортеза перед выдачей в эксплуатацию.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Услуга может оказываться как изолированно, так и в комплексе с реабилитационными услугами других основных направлений комплексной реабилитации и абилитации, в которых нуждается инвалид.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Услуга оказывается поставщиком услуг по ортезированию при наличии: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документов, в соответствии с которыми организация осуществляет свою деятельность;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оснащения здания, прилегающей территории, помещений поставщика услуги по ортезированию в соответствии с действующими требованиями доступности зданий и сооружений для маломобильных групп населения &lt;4&gt;;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36" w:tooltip="Приказ Минтруда России от 30.07.2015 N 527н (ред. от 15.12.2022) &quot;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&quot; (Зарегистрировано в Минюсте России 17.09.2015 N 3889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30 июля 2015 г. N 527н "Об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помощи" (зарегистрирован Министерством юстиции Российской Федерации 17 сентября 2015 г., регистрационный N 38897), с изменениями, внесенными приказом Министерства труда и социальной защиты Российской Федерации от 15 декабря 2022 г. N 782н (зарегистрирован Министерством юстиции Российской Федерации 1 марта 2023 г., регистрационный N 72478) (далее - приказ Минтруда России N 527н).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помещений, оснащения и оборудования, необходимых для обследования инвалида, подготовки к ортезированию (кабинет (кабинеты) врача (врачей), кабинет физиотерапии, зал для занятий лечебной физкультурой, кабинет механотерапии, кабинет медицинского психолога), производства (изготовления), подгонки (настройки) протезно-ортопедических изделий, обучения инвалидов безопасному и эффективному пользованию протезно-ортопедическими изделиями (зона функциональной адаптации), предоставления инвалидам протезно-ортопедических изделий, а также ремонта, сервисного обслуживания, соответствующих установленным требованиям;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специального оснащения поставщика услуги по ортезированию (оборудование, приборы, аппаратура, измерительный инструмент, транспорт для выездного сервисного обслуживания, материалы и полуфабрикаты для изготовления ПОИ), применяемого в процессе ортезирования;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укомплектованности поставщика услуги по ортезированию специалистами соответствующей квалификации для изготовления ПОИ;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технической документации на все виды изготавливаемых ортезов;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маркировки на узлах (модулях) ортеза и документов, подтверждающих безопасность для жизни и здоровья инвалида и окружающей среды;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сопровождения инвалида законным (уполномоченным) представителем, социальным координатором (при необходимости).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Поставщик услуги по ортезированию должен иметь: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обязательных специалистов - в штате организации; рекомендуемых специалистов, в случае их отсутствия в штате организации возможно привлекать на основании гражданско-правового договора, или на основании договора оказания услуг с юридическим лицом, имеющим в штате таких специалистов;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помещения на праве собственности или ином законном основании, необходимых для оказания услуги и отвечающих установленным санитарным правилам &lt;5&gt;.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37" w:tooltip="Постановление Главного государственного санитарного врача РФ от 24.12.2020 N 44 (ред. от 20.03.2024) &quot;Об утверждении санитарных правил СП 2.1.3678-20 &quot;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&quot; (Зарегистрировано в Минюсте России 30.12.2020 N 61953) {КонсультантПлюс}">
        <w:r>
          <w:rPr>
            <w:sz w:val="24"/>
            <w:color w:val="0000ff"/>
          </w:rPr>
          <w:t xml:space="preserve">СП 2.1.3678-20</w:t>
        </w:r>
      </w:hyperlink>
      <w:r>
        <w:rPr>
          <w:sz w:val="24"/>
        </w:rPr>
        <w:t xml:space="preserve">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услуг", утвержденные постановлением Главного государственного санитарного врача Российской Федерации от 24 декабря 2020 N 44 (зарегистрировано Министерством юстиции Российской Федерации 30 декабря 2020 г., регистрационный N 61953) с изменениями, внесенными постановлениями Главного государственного врача Российской Федерации от 14 апреля 2022 г. N 12 (зарегистрировано Министерством юстиции Российской Федерации 15 апреля 2022 г., регистрационный N 68213), от 20 марта 2024 г. N 2 (зарегистрировано Министерством юстиции Российской Федерации 12 июля 2024 г., регистрационный N 78805), срок действия - до 01.01.2027.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15. Поставщик услуги должен обеспечить в соответствии с установленными требованиями &lt;6&gt; доступность зданий, строений, сооружений и (или) помещений, а также прилегающей территории для инвалидов и других маломобильных групп населения с ограниченными возможностями передвижения.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Требования обеспечения доступности установлены </w:t>
      </w:r>
      <w:hyperlink w:history="0" r:id="rId38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Минтруда России N 527н.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Поставщик услуги должен обеспечить доступ инвалида, имеющего стойкие расстройства функции зрения (слепого) в сопровождении собаки-проводника (при наличии документа, подтверждающего ее специальное обучение) в соответствии с требованиями Федерального </w:t>
      </w:r>
      <w:hyperlink w:history="0" r:id="rId39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181-ФЗ на территорию и объекты поставщика услуги по протезированию, а также к месту предоставления услуги, возможность размещения собаки-проводника в месте отдыха или ожидания собаки-проводника в часы получения инвалидом услуг по протезированию (при необходимости и согласии инвалида).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При реализации положений стандарта в части проведения мероприятия по подготовке к ортезированию возможно привлечение организации (юридического лица) по договору оказания услуг, имеющей соответствующих специалистов и оборудование, а также имеющей лицензии по соответствующему виду медицинской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Услуга оказывается междисциплинарной командой.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Междисциплинарная команда формируется персонифицировано с учетом общей цели реабилитации в соответствии с рекомендациями в ИПРА и конкретной цели ортезирования 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функции междисциплинарной команды входит: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реабилитационного прогноза инвалида на основе анализа клинико-функциональных, социально-бытовых, профессионально-трудовых и психологических данных, в целях компенсации возможных ограничений жизнедеятельности (способность к самостоятельному передвижению, самообслуживанию, общению, трудовой деятельности), формирование цели и задач услуги по ортезированию;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определение временных противопоказаний к ортезированию;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установление вида, состава и объема мероприятий по подготовке к ортезированию, в зависимости от физического и психологического состояния инвалида, необходимости проведения медицинской реабилитации;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разработка перечня мероприятий по обучению инвалида безопасному и эффективному пользованию ПОИ (функциональная адаптация);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выбор конструкции ортеза, предоставление инвалиду информации о конструкции ортеза и его функциях;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формирование документации по ортезированию;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разработка мероприятий по обучению реабилитационным навыкам для применения их инвалидом в домашних условиях (самостоятельных занятий по физической реабилитации и социально-бытовой адаптации);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оценка реабилитационной эффективности ортезирования (оценка состояния ОДА инвалида, итоги реализации мероприятий по ортезированию);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составление заключения и рекомендации по дальнейшей тактике ведения инвалида (наблюдение, определение необходимости досрочной замены ортеза, проведения дополнительных курсов проведения физической реабилитации и социально-бытовой адаптации);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комиссионное оформление и ведение документации по ортезированию, включая консультации врачей-специалистов для каждого инвалида, иной документации, включая медицинскую (заказа, учетной и отчетной документации).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Междисциплинарная команда может выполнять функции в режиме выездной бригады. Объем работ определяется условиями контракта по ортезированию и обеспечению инвалида ортезом (ортезами).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Требования к профессиональной подготовке и квалификации персонала поставщика услуги по ортезированию по профессиям, должностям, специальностям определяются на основании Единого тарифно-квалификационного </w:t>
      </w:r>
      <w:hyperlink w:history="0" r:id="rId40" w:tooltip="Постановление Минтруда РФ от 05.03.2004 N 38 &quot;Об утверждении Единого тарифно-квалификационного справочника работ и профессий рабочих, выпуск 16, раздел &quot;Производство медицинского инструмента, приборов и оборудования&quot; {КонсультантПлюс}">
        <w:r>
          <w:rPr>
            <w:sz w:val="24"/>
            <w:color w:val="0000ff"/>
          </w:rPr>
          <w:t xml:space="preserve">справочника</w:t>
        </w:r>
      </w:hyperlink>
      <w:r>
        <w:rPr>
          <w:sz w:val="24"/>
        </w:rPr>
        <w:t xml:space="preserve"> работ и профессий рабочих, выпуск 16, раздел "Производство медицинского инструмента, приборов и оборудования", Единого квалификационного </w:t>
      </w:r>
      <w:hyperlink w:history="0" r:id="rId41" w:tooltip="Приказ Минздравсоцразвития России от 23.07.2010 N 541н (ред. от 09.04.2018) &quot;Об утверждении Единого квалификационного справочника должностей руководителей, специалистов и служащих, раздел &quot;Квалификационные характеристики должностей работников в сфере здравоохранения&quot; (Зарегистрировано в Минюсте России 25.08.2010 N 18247) {КонсультантПлюс}">
        <w:r>
          <w:rPr>
            <w:sz w:val="24"/>
            <w:color w:val="0000ff"/>
          </w:rPr>
          <w:t xml:space="preserve">справочника</w:t>
        </w:r>
      </w:hyperlink>
      <w:r>
        <w:rPr>
          <w:sz w:val="24"/>
        </w:rPr>
        <w:t xml:space="preserve"> должностей руководителей, специалистов и служащих, раздел "Квалификационные характеристики должностей работников в сфере здравоохранения", утвержденного приказом Министерства здравоохранения и социального развития Российской Федерации (зарегистрирован Министерством юстиции Российской Федерации 25 августа 2010 г., регистрационный N 18247) с изменениями, внесенными приказом Министерства труда и социальной защиты Российской Федерации от 9 апреля 2018 г. N 214н (зарегистрирован Министерством юстиции Российской Федерации 19 июня 2018 г., регистрационный N 51386), Общероссийского </w:t>
      </w:r>
      <w:hyperlink w:history="0" r:id="rId42" w:tooltip="Постановление Госстандарта РФ от 26.12.1994 N 367 (ред. от 19.06.2012) &lt;О принятии и введении в действие Общероссийского классификатора профессий рабочих, должностей служащих и тарифных разрядов ОК 016-94&gt; (вместе с &quot;ОК 016-94. Общероссийский классификатор профессий рабочих, должностей служащих и тарифных разрядов&quot;) (дата введения 01.01.1996) {КонсультантПлюс}">
        <w:r>
          <w:rPr>
            <w:sz w:val="24"/>
            <w:color w:val="0000ff"/>
          </w:rPr>
          <w:t xml:space="preserve">классификатора</w:t>
        </w:r>
      </w:hyperlink>
      <w:r>
        <w:rPr>
          <w:sz w:val="24"/>
        </w:rPr>
        <w:t xml:space="preserve"> профессий рабочих, должностей служащих и тарифных разрядов ОК 016-94, </w:t>
      </w:r>
      <w:hyperlink w:history="0" r:id="rId43" w:tooltip="Приказ Минздрава России от 02.05.2023 N 205н (ред. от 04.12.2023) &quot;Об утверждении Номенклатуры должностей медицинских работников и фармацевтических работников&quot; (Зарегистрировано в Минюсте России 01.06.2023 N 73664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Минздрава России N 205н.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IV. Перечень специалистов, привлекаемых к реализации</w:t>
      </w:r>
    </w:p>
    <w:p>
      <w:pPr>
        <w:pStyle w:val="2"/>
        <w:jc w:val="center"/>
      </w:pPr>
      <w:r>
        <w:rPr>
          <w:sz w:val="24"/>
        </w:rPr>
        <w:t xml:space="preserve">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1"/>
        <w:gridCol w:w="2268"/>
        <w:gridCol w:w="6236"/>
      </w:tblGrid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привлекаемые к реализации услуг</w:t>
            </w:r>
          </w:p>
        </w:tc>
        <w:tc>
          <w:tcPr>
            <w:tcW w:w="623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должности (профессии)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(при перечислении должностей специалистов через слеш (/) допустимо наличие у поставщика услуги минимум одной из перечисленных должностей)</w:t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23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7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2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Обязательные специалисты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4"/>
              </w:rPr>
              <w:t xml:space="preserve">Врач-травматолог-ортопед/врач-хирург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4"/>
              </w:rPr>
              <w:t xml:space="preserve">Врач физической и реабилитационной медицины/врач по медицинской реабилитации/врач по лечебной физкультуре/врач-физиотерапевт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4"/>
              </w:rPr>
              <w:t xml:space="preserve">Инструктор-методист по лечебной физкультуре/инструктор по лечебной физкультуре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по физиотерапии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4"/>
              </w:rPr>
              <w:t xml:space="preserve">Обувщик по пошиву ортопедической обуви/затяжчик обуви/обувщик по индивидуальному пошиву обуви (при наличии обувного производства)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4"/>
              </w:rPr>
              <w:t xml:space="preserve">Портной/швея/пошивщик изделий (при наличии швейного производства)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4"/>
              </w:rPr>
              <w:t xml:space="preserve">Закройщик (при наличии швейного производства)</w:t>
            </w:r>
          </w:p>
        </w:tc>
      </w:tr>
      <w:tr>
        <w:tc>
          <w:tcPr>
            <w:tcW w:w="57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26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Рекомендуемые специалисты</w:t>
            </w:r>
          </w:p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4"/>
              </w:rPr>
              <w:t xml:space="preserve">Врач-терапевт/врач общей практики/врач-невролог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Медицинская сестра по массажу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4"/>
              </w:rPr>
              <w:t xml:space="preserve">Механик протезно-ортопедических изделий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4"/>
              </w:rPr>
              <w:t xml:space="preserve">Модельер ортопедической обуви (при наличии обувного производства)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4"/>
              </w:rPr>
              <w:t xml:space="preserve">Модельер колодок (при наличии обувного производства)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4"/>
              </w:rPr>
              <w:t xml:space="preserve">Модельер-конструктор/художник-модельер (при наличии швейного производства)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236" w:type="dxa"/>
          </w:tcPr>
          <w:p>
            <w:pPr>
              <w:pStyle w:val="0"/>
            </w:pPr>
            <w:r>
              <w:rPr>
                <w:sz w:val="24"/>
              </w:rPr>
              <w:t xml:space="preserve">Шорник по изготовлению и отделке ПОИ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V. Перечень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2"/>
        <w:gridCol w:w="2126"/>
        <w:gridCol w:w="1191"/>
        <w:gridCol w:w="2410"/>
        <w:gridCol w:w="3572"/>
        <w:gridCol w:w="3572"/>
      </w:tblGrid>
      <w:tr>
        <w:tc>
          <w:tcPr>
            <w:tcW w:w="68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Получатель услуги</w:t>
            </w:r>
          </w:p>
        </w:tc>
        <w:tc>
          <w:tcPr>
            <w:tcW w:w="241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ЦРГ</w:t>
            </w:r>
          </w:p>
        </w:tc>
        <w:tc>
          <w:tcPr>
            <w:gridSpan w:val="2"/>
            <w:tcW w:w="714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Специалисты, реализующие мероприятия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обязательные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рекомендуемые</w:t>
            </w:r>
          </w:p>
        </w:tc>
      </w:tr>
      <w:tr>
        <w:tc>
          <w:tcPr>
            <w:tcW w:w="68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12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4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357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682" w:type="dxa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Подготовка к ортезированию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2410" w:type="dxa"/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Врач-травматолог-ортопед/врач-хирург;</w:t>
            </w:r>
          </w:p>
          <w:p>
            <w:pPr>
              <w:pStyle w:val="0"/>
            </w:pPr>
            <w:r>
              <w:rPr>
                <w:sz w:val="24"/>
              </w:rPr>
              <w:t xml:space="preserve">врач по физической и реабилитационной медицине/врач по медицинской реабилитации/врач по лечебной физкультуре/врач-физиотерапевт;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лечебной физкультуре/инструктор по лечебной физкультуре;</w:t>
            </w:r>
          </w:p>
          <w:p>
            <w:pPr>
              <w:pStyle w:val="0"/>
            </w:pPr>
            <w:r>
              <w:rPr>
                <w:sz w:val="24"/>
              </w:rPr>
              <w:t xml:space="preserve">медицинская сестра по физиотерапии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Врач-терапевт/врач общей практики/врач-невролог;</w:t>
            </w:r>
          </w:p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спорту;</w:t>
            </w:r>
          </w:p>
          <w:p>
            <w:pPr>
              <w:pStyle w:val="0"/>
            </w:pPr>
            <w:r>
              <w:rPr>
                <w:sz w:val="24"/>
              </w:rPr>
              <w:t xml:space="preserve">медицинская сестра по массажу</w:t>
            </w:r>
          </w:p>
        </w:tc>
      </w:tr>
      <w:tr>
        <w:tc>
          <w:tcPr>
            <w:tcW w:w="682" w:type="dxa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помощь в процессе ортезирования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2410" w:type="dxa"/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психолог/психолог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2410" w:type="dxa"/>
          </w:tcPr>
          <w:p>
            <w:pPr>
              <w:pStyle w:val="0"/>
            </w:pPr>
            <w:hyperlink w:history="0" w:anchor="P103" w:tooltip="ЦРГ 12.5 - инвалиды, получившие ранение (травму, контузию, увечье) или заболевание в связи с участием в боевых действиях, с последствиями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ЦРГ 12.5</w:t>
              </w:r>
            </w:hyperlink>
            <w:r>
              <w:rPr>
                <w:sz w:val="24"/>
              </w:rPr>
              <w:t xml:space="preserve"> - </w:t>
            </w:r>
            <w:hyperlink w:history="0" w:anchor="P106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2" w:tooltip="ЦРГ 13.5 - инвалиды, получившие травму, ранение, контузию, увечье в связи с боевыми действиями, вследствие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ЦРГ 13.5</w:t>
              </w:r>
            </w:hyperlink>
            <w:r>
              <w:rPr>
                <w:sz w:val="24"/>
              </w:rPr>
              <w:t xml:space="preserve"> - </w:t>
            </w:r>
            <w:hyperlink w:history="0" w:anchor="P115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Шорник по изготовлению и отделке ПОИ;</w:t>
            </w:r>
          </w:p>
          <w:p>
            <w:pPr>
              <w:pStyle w:val="0"/>
            </w:pPr>
            <w:r>
              <w:rPr>
                <w:sz w:val="24"/>
              </w:rPr>
              <w:t xml:space="preserve">механик протезно-ортопедических изделий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410" w:type="dxa"/>
          </w:tcPr>
          <w:p>
            <w:pPr>
              <w:pStyle w:val="0"/>
            </w:pPr>
            <w:hyperlink w:history="0" w:anchor="P100" w:tooltip="ЦРГ 12.2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12.2</w:t>
              </w:r>
            </w:hyperlink>
            <w:r>
              <w:rPr>
                <w:sz w:val="24"/>
              </w:rPr>
              <w:t xml:space="preserve"> - </w:t>
            </w:r>
            <w:hyperlink w:history="0" w:anchor="P105" w:tooltip="ЦРГ 12.7 - инвалиды, получившие ранение (травму, контузию, увечье) или заболевание в связи с участием в боевых действиях, с последствиями поражения периферической нервной системы;">
              <w:r>
                <w:rPr>
                  <w:sz w:val="24"/>
                  <w:color w:val="0000ff"/>
                </w:rPr>
                <w:t xml:space="preserve">12.7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9" w:tooltip="ЦРГ 13.2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13.2</w:t>
              </w:r>
            </w:hyperlink>
            <w:r>
              <w:rPr>
                <w:sz w:val="24"/>
              </w:rPr>
              <w:t xml:space="preserve"> - </w:t>
            </w:r>
            <w:hyperlink w:history="0" w:anchor="P114" w:tooltip="ЦРГ 13.7 - инвалиды, получившие травму, ранение, контузию, увечье в связи с боевыми действиями, вследствие поражения периферической нервной системы;">
              <w:r>
                <w:rPr>
                  <w:sz w:val="24"/>
                  <w:color w:val="0000ff"/>
                </w:rPr>
                <w:t xml:space="preserve">13.7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Конструктор обуви;</w:t>
            </w:r>
          </w:p>
          <w:p>
            <w:pPr>
              <w:pStyle w:val="0"/>
            </w:pPr>
            <w:r>
              <w:rPr>
                <w:sz w:val="24"/>
              </w:rPr>
              <w:t xml:space="preserve">обувщик по пошиву ортопедической обуви/затяжчик обуви/обувщик по индивидуальному пошиву обуви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Модельер ортопедической обуви;</w:t>
            </w:r>
          </w:p>
          <w:p>
            <w:pPr>
              <w:pStyle w:val="0"/>
            </w:pPr>
            <w:r>
              <w:rPr>
                <w:sz w:val="24"/>
              </w:rPr>
              <w:t xml:space="preserve">модельер колодок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410" w:type="dxa"/>
          </w:tcPr>
          <w:p>
            <w:pPr>
              <w:pStyle w:val="0"/>
            </w:pPr>
            <w:hyperlink w:history="0" w:anchor="P100" w:tooltip="ЦРГ 12.2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12.2</w:t>
              </w:r>
            </w:hyperlink>
            <w:r>
              <w:rPr>
                <w:sz w:val="24"/>
              </w:rPr>
              <w:t xml:space="preserve">, </w:t>
            </w:r>
            <w:hyperlink w:history="0" w:anchor="P102" w:tooltip="ЦРГ 12.4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нижних конечностей;">
              <w:r>
                <w:rPr>
                  <w:sz w:val="24"/>
                  <w:color w:val="0000ff"/>
                </w:rPr>
                <w:t xml:space="preserve">12.4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2.6 - инвалиды, получившие ранение (травму, контузию, увечье) или заболевание в связи с участием в боевых действиях, с последствиями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12.6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9" w:tooltip="ЦРГ 13.2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13.2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13.4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нижних конечностей;">
              <w:r>
                <w:rPr>
                  <w:sz w:val="24"/>
                  <w:color w:val="0000ff"/>
                </w:rPr>
                <w:t xml:space="preserve">13.4</w:t>
              </w:r>
            </w:hyperlink>
            <w:r>
              <w:rPr>
                <w:sz w:val="24"/>
              </w:rPr>
              <w:t xml:space="preserve"> - </w:t>
            </w:r>
            <w:hyperlink w:history="0" w:anchor="P113" w:tooltip="ЦРГ 13.6 - инвалиды, получившие травму, ранение, контузию, увечье в связи с боевыми действиями, вследствие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13.6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Закройщик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Модельер-конструктор;</w:t>
            </w:r>
          </w:p>
          <w:p>
            <w:pPr>
              <w:pStyle w:val="0"/>
            </w:pPr>
            <w:r>
              <w:rPr>
                <w:sz w:val="24"/>
              </w:rPr>
              <w:t xml:space="preserve">художник-модельер</w:t>
            </w:r>
          </w:p>
        </w:tc>
      </w:tr>
      <w:tr>
        <w:tc>
          <w:tcPr>
            <w:tcW w:w="682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12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19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2410" w:type="dxa"/>
          </w:tcPr>
          <w:p>
            <w:pPr>
              <w:pStyle w:val="0"/>
            </w:pPr>
            <w:hyperlink w:history="0" w:anchor="P103" w:tooltip="ЦРГ 12.5 - инвалиды, получившие ранение (травму, контузию, увечье) или заболевание в связи с участием в боевых действиях, с последствиями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ЦРГ 12.5</w:t>
              </w:r>
            </w:hyperlink>
            <w:r>
              <w:rPr>
                <w:sz w:val="24"/>
              </w:rPr>
              <w:t xml:space="preserve"> - </w:t>
            </w:r>
            <w:hyperlink w:history="0" w:anchor="P106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12.8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2" w:tooltip="ЦРГ 13.5 - инвалиды, получившие травму, ранение, контузию, увечье в связи с боевыми действиями, вследствие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ЦРГ 13.5</w:t>
              </w:r>
            </w:hyperlink>
            <w:r>
              <w:rPr>
                <w:sz w:val="24"/>
              </w:rPr>
              <w:t xml:space="preserve"> - </w:t>
            </w:r>
            <w:hyperlink w:history="0" w:anchor="P115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13.8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410" w:type="dxa"/>
          </w:tcPr>
          <w:p>
            <w:pPr>
              <w:pStyle w:val="0"/>
            </w:pPr>
            <w:hyperlink w:history="0" w:anchor="P100" w:tooltip="ЦРГ 12.2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12.2</w:t>
              </w:r>
            </w:hyperlink>
            <w:r>
              <w:rPr>
                <w:sz w:val="24"/>
              </w:rPr>
              <w:t xml:space="preserve"> - </w:t>
            </w:r>
            <w:hyperlink w:history="0" w:anchor="P105" w:tooltip="ЦРГ 12.7 - инвалиды, получившие ранение (травму, контузию, увечье) или заболевание в связи с участием в боевых действиях, с последствиями поражения периферической нервной системы;">
              <w:r>
                <w:rPr>
                  <w:sz w:val="24"/>
                  <w:color w:val="0000ff"/>
                </w:rPr>
                <w:t xml:space="preserve">12.7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9" w:tooltip="ЦРГ 13.2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13.2</w:t>
              </w:r>
            </w:hyperlink>
            <w:r>
              <w:rPr>
                <w:sz w:val="24"/>
              </w:rPr>
              <w:t xml:space="preserve"> - </w:t>
            </w:r>
            <w:hyperlink w:history="0" w:anchor="P114" w:tooltip="ЦРГ 13.7 - инвалиды, получившие травму, ранение, контузию, увечье в связи с боевыми действиями, вследствие поражения периферической нервной системы;">
              <w:r>
                <w:rPr>
                  <w:sz w:val="24"/>
                  <w:color w:val="0000ff"/>
                </w:rPr>
                <w:t xml:space="preserve">13.7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Обувщик по пошиву ортопедической обуви/затяжчик обуви/обувщик по индивидуальному пошиву обуви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410" w:type="dxa"/>
          </w:tcPr>
          <w:p>
            <w:pPr>
              <w:pStyle w:val="0"/>
            </w:pPr>
            <w:hyperlink w:history="0" w:anchor="P100" w:tooltip="ЦРГ 12.2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12.2</w:t>
              </w:r>
            </w:hyperlink>
            <w:r>
              <w:rPr>
                <w:sz w:val="24"/>
              </w:rPr>
              <w:t xml:space="preserve">, </w:t>
            </w:r>
            <w:hyperlink w:history="0" w:anchor="P102" w:tooltip="ЦРГ 12.4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нижних конечностей;">
              <w:r>
                <w:rPr>
                  <w:sz w:val="24"/>
                  <w:color w:val="0000ff"/>
                </w:rPr>
                <w:t xml:space="preserve">12.4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2.6 - инвалиды, получившие ранение (травму, контузию, увечье) или заболевание в связи с участием в боевых действиях, с последствиями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12.6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9" w:tooltip="ЦРГ 13.2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13.2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13.4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нижних конечностей;">
              <w:r>
                <w:rPr>
                  <w:sz w:val="24"/>
                  <w:color w:val="0000ff"/>
                </w:rPr>
                <w:t xml:space="preserve">13.4</w:t>
              </w:r>
            </w:hyperlink>
            <w:r>
              <w:rPr>
                <w:sz w:val="24"/>
              </w:rPr>
              <w:t xml:space="preserve"> - </w:t>
            </w:r>
            <w:hyperlink w:history="0" w:anchor="P113" w:tooltip="ЦРГ 13.6 - инвалиды, получившие травму, ранение, контузию, увечье в связи с боевыми действиями, вследствие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13.6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Закройщик;</w:t>
            </w:r>
          </w:p>
          <w:p>
            <w:pPr>
              <w:pStyle w:val="0"/>
            </w:pPr>
            <w:r>
              <w:rPr>
                <w:sz w:val="24"/>
              </w:rPr>
              <w:t xml:space="preserve">портной/швея/пошивщик изделий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2" w:type="dxa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2410" w:type="dxa"/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Инструктор-методист по лечебной физкультуре/инструктор по лечебной физкультуре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Инструктор-методист по адаптивной физической культуре и адаптивному спорту</w:t>
            </w:r>
          </w:p>
        </w:tc>
      </w:tr>
      <w:tr>
        <w:tc>
          <w:tcPr>
            <w:tcW w:w="682" w:type="dxa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126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Техническое обслуживание, ремонт, замена ПОИ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2410" w:type="dxa"/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  <w:tc>
          <w:tcPr>
            <w:tcW w:w="3572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Техник-протезист (или инженер-протезист/инженер-технолог-протезист);</w:t>
            </w:r>
          </w:p>
          <w:p>
            <w:pPr>
              <w:pStyle w:val="0"/>
            </w:pPr>
            <w:r>
              <w:rPr>
                <w:sz w:val="24"/>
              </w:rPr>
              <w:t xml:space="preserve">обувщик по пошиву ортопедической обуви/затяжчик обуви/обувщик по индивидуальному пошиву обуви; портной/швея/пошивщик изделий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82" w:type="dxa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2126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процессе пользования ортезом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  <w:t xml:space="preserve">Инвалид</w:t>
            </w:r>
          </w:p>
        </w:tc>
        <w:tc>
          <w:tcPr>
            <w:tcW w:w="2410" w:type="dxa"/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Врач-травматолог-ортопед/врач-хирург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VI. Содержание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54"/>
        <w:gridCol w:w="2261"/>
        <w:gridCol w:w="8050"/>
        <w:gridCol w:w="2520"/>
      </w:tblGrid>
      <w:tr>
        <w:tc>
          <w:tcPr>
            <w:tcW w:w="7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2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мероприятий, входящих в состав услуги</w:t>
            </w:r>
          </w:p>
        </w:tc>
        <w:tc>
          <w:tcPr>
            <w:tcW w:w="80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Содержание мероприятий, входящих в состав услуги</w:t>
            </w:r>
          </w:p>
        </w:tc>
        <w:tc>
          <w:tcPr>
            <w:tcW w:w="25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реализации мероприятий</w:t>
            </w:r>
          </w:p>
        </w:tc>
      </w:tr>
      <w:tr>
        <w:tc>
          <w:tcPr>
            <w:tcW w:w="7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261" w:type="dxa"/>
          </w:tcPr>
          <w:p>
            <w:pPr>
              <w:pStyle w:val="0"/>
            </w:pPr>
            <w:r>
              <w:rPr>
                <w:sz w:val="24"/>
              </w:rPr>
              <w:t xml:space="preserve">Подготовка к ортезированию</w:t>
            </w:r>
          </w:p>
        </w:tc>
        <w:tc>
          <w:tcPr>
            <w:tcW w:w="805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Анализ ИПРА, медицинской документации (заключений врачей-специалистов при необходимости), проведение антропометрических измерений;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обследование инвалида: оценка состояния ОДА, включая антропометрические измерения;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определение временных противопоказаний к ортезированию;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выбор конструкции ортеза, включая сложную ортопедическую обувь, специальную одежду для инвалидов;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консервативная подготовка к ортезированию методами лечебной физической культуры и физиотерапии (в зависимости от применяемых при ортезировании видов ПОИ);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предоставление инвалиду и его законному (уполномоченному) представителю информации о конструкции ортеза, его функциональных возможностях и ограничениях, а также планируемом реабилитационном эффекте</w:t>
            </w:r>
          </w:p>
        </w:tc>
        <w:tc>
          <w:tcPr>
            <w:tcW w:w="252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7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261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помощь в процессе ортезирования</w:t>
            </w:r>
          </w:p>
        </w:tc>
        <w:tc>
          <w:tcPr>
            <w:tcW w:w="805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Сбор социально-психологического анамнеза посредством беседы, опроса, анкетирования (при необходимости с привлечением законного (уполномоченного) представителя);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заключения по результатам первичной (входящей) социально-психологической диагностики;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индивидуально-личностное психологическое консультирование, направленное на проработку и решение обусловленных болезнью и инвалидностью проблем;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проведение практических занятий (психологическая коррекция);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формирование заключения по результатам повторной (контрольной) социально-психологической диагностики</w:t>
            </w:r>
          </w:p>
        </w:tc>
        <w:tc>
          <w:tcPr>
            <w:tcW w:w="252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полустационарная, дистанционная с применением информационно-телекоммуникационных технологий</w:t>
            </w:r>
          </w:p>
        </w:tc>
      </w:tr>
      <w:tr>
        <w:tblPrEx>
          <w:tblBorders>
            <w:insideH w:val="nil"/>
          </w:tblBorders>
        </w:tblPrEx>
        <w:tc>
          <w:tcPr>
            <w:tcW w:w="754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261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805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20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blPrEx>
          <w:tblBorders>
            <w:insideH w:val="nil"/>
          </w:tblBorders>
        </w:tblPrEx>
        <w:tc>
          <w:tcPr>
            <w:tcW w:w="754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2261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ортеза</w:t>
            </w:r>
          </w:p>
        </w:tc>
        <w:tc>
          <w:tcPr>
            <w:tcW w:w="8050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По слепку (туторы, аппараты, головодержатели, жесткие корсеты, обтураторы):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снятие слепка, изготовление негатива и позитива сегмента тела, индивидуальной гильзы ортеза;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примерка гильзы ортеза (промежуточной или постоянной);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подбор функциональных модулей и других частей ортеза, обеспечивающих заданные характеристики, свойства;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сборка ортеза;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проверка состояния сегмента (сегментов) тела в процессе ортезирования;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контроль качества ортеза;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выдача ортеза инвалиду для постоянного пользования.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 шаблонам (бандажи, реклинаторы, головодержатели, корсеты мягкие и полужесткие):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снятие мерки;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проектирование ортеза;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построение чертежа, изготовление выкроек;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раскрой деталей ортеза;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сборка ортеза;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примерка ортеза;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корректировка по результатам примерки;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окончательная отделка ортеза;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контроль качества ортеза;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выдача ортеза инвалиду для постоянного пользования.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 аддитивной технологии (туторы, аппараты, жесткие корсеты, обтураторы):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сканирование сегмента тела инвалида;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моделирование гильзы ортеза, получение электронной цифровой модели;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- 3D печать гильзы ортеза;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сборка и отделка ортеза;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проверка состояния сегмента (сегментов) тела в процессе ортезирования;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контроль качества ортеза;</w:t>
            </w:r>
          </w:p>
          <w:p>
            <w:pPr>
              <w:pStyle w:val="0"/>
              <w:ind w:left="283"/>
              <w:jc w:val="both"/>
            </w:pPr>
            <w:r>
              <w:rPr>
                <w:sz w:val="24"/>
              </w:rPr>
              <w:t xml:space="preserve">- выдача ортеза инвалиду для постоянного пользования</w:t>
            </w:r>
          </w:p>
        </w:tc>
        <w:tc>
          <w:tcPr>
            <w:tcW w:w="2520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7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2261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Изготовление сложной ортопедической обуви, вкладного башмачка</w:t>
            </w:r>
          </w:p>
        </w:tc>
        <w:tc>
          <w:tcPr>
            <w:tcW w:w="805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Снятие мерки, обчерков стопы (скан стопы и голени);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снятие слепка стопы и голени, изготовление негатива и позитива;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подбор и подгонка ортопедической колодки или изготовление индивидуальной ортопедической колодки;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изготовление межстелечного слоя;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построение грунтмодели (сборочного чертежа), шаблонов деталей обуви, в том числе с применением методов 2D и 3D проектирования;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раскрой деталей верха и подкладки обуви, вырубка деталей низа обуви;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сборка заготовки верха обуви;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затяжка верха обуви;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снятие обуви с колодки, прикрепление временного каблука, примерка;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корректировка обуви по результатам примерки;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прикрепление деталей низа обуви;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отделка обуви;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контроль качества обуви;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выдача обуви инвалиду для постоянного пользования</w:t>
            </w:r>
          </w:p>
        </w:tc>
        <w:tc>
          <w:tcPr>
            <w:tcW w:w="252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7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3.3</w:t>
            </w:r>
          </w:p>
        </w:tc>
        <w:tc>
          <w:tcPr>
            <w:tcW w:w="2261" w:type="dxa"/>
          </w:tcPr>
          <w:p>
            <w:pPr>
              <w:pStyle w:val="0"/>
            </w:pPr>
            <w:r>
              <w:rPr>
                <w:sz w:val="24"/>
              </w:rPr>
              <w:t xml:space="preserve">Изготовление специальной одежды для инвалидов</w:t>
            </w:r>
          </w:p>
        </w:tc>
        <w:tc>
          <w:tcPr>
            <w:tcW w:w="805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Снятие мерки (скана тела инвалида);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проектирование одежды, в том числе с применением методов 2D и 3D проектирования;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построение чертежа, изготовление выкроек, в том числе с применением методов 2D проектирования;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раскрой деталей одежды;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сборка одежды (пошив);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примерка;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корректировка одежды по результатам примерки;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окончательная отделка одежды;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контроль качества одежды;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выдача одежды инвалиду для постоянного пользования</w:t>
            </w:r>
          </w:p>
        </w:tc>
        <w:tc>
          <w:tcPr>
            <w:tcW w:w="252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7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261" w:type="dxa"/>
          </w:tcPr>
          <w:p>
            <w:pPr>
              <w:pStyle w:val="0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805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Примерка, установка и подгонка креплений ортеза, пробная носка;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подгонка ортеза с учетом особенностей ОДА инвалида;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дополнительная подгонка ортеза по результатам пользования инвалидом</w:t>
            </w:r>
          </w:p>
        </w:tc>
        <w:tc>
          <w:tcPr>
            <w:tcW w:w="252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7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261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805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инвалида пользованию ортезом: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отработка навыков правильного надевания и снятия ортеза;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обучение двигательным навыкам, формирование правильного двигательного стереотипа</w:t>
            </w:r>
          </w:p>
        </w:tc>
        <w:tc>
          <w:tcPr>
            <w:tcW w:w="252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7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261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Техническое обслуживание, ремонт, замена ПОИ</w:t>
            </w:r>
          </w:p>
        </w:tc>
        <w:tc>
          <w:tcPr>
            <w:tcW w:w="805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Осмотр ортеза и ремонт его в период действия гарантийного срока (при необходимости)</w:t>
            </w:r>
          </w:p>
        </w:tc>
        <w:tc>
          <w:tcPr>
            <w:tcW w:w="2520" w:type="dxa"/>
          </w:tcPr>
          <w:p>
            <w:pPr>
              <w:pStyle w:val="0"/>
            </w:pPr>
            <w:r>
              <w:rPr>
                <w:sz w:val="24"/>
              </w:rPr>
              <w:t xml:space="preserve">Стационарная, полустационарная</w:t>
            </w:r>
          </w:p>
        </w:tc>
      </w:tr>
      <w:tr>
        <w:tc>
          <w:tcPr>
            <w:tcW w:w="7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2261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процессе пользования ортезом</w:t>
            </w:r>
          </w:p>
        </w:tc>
        <w:tc>
          <w:tcPr>
            <w:tcW w:w="8050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- Динамическое наблюдение (регулярный сбор обратной связи с периодичностью раз в три месяца в первый год обслуживания и раз в полгода в период установленного срока пользования ортезом);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- консультирование дистанционное с применением информационно-телекоммуникационных технологий по вопросам реабилитации и абилитации, пользования ортезом, сбор и анализ информации о формате пользования ортезом</w:t>
            </w:r>
          </w:p>
        </w:tc>
        <w:tc>
          <w:tcPr>
            <w:tcW w:w="2520" w:type="dxa"/>
          </w:tcPr>
          <w:p>
            <w:pPr>
              <w:pStyle w:val="0"/>
            </w:pPr>
            <w:r>
              <w:rPr>
                <w:sz w:val="24"/>
              </w:rPr>
              <w:t xml:space="preserve">Полустационарная, дистанционная с применением информационно-телекоммуникационных технологий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VII. Показатели продолжительности и кратности</w:t>
      </w:r>
    </w:p>
    <w:p>
      <w:pPr>
        <w:pStyle w:val="2"/>
        <w:jc w:val="center"/>
      </w:pPr>
      <w:r>
        <w:rPr>
          <w:sz w:val="24"/>
        </w:rPr>
        <w:t xml:space="preserve">предоставления мероприятий, входящих в состав услуги,</w:t>
      </w:r>
    </w:p>
    <w:p>
      <w:pPr>
        <w:pStyle w:val="2"/>
        <w:jc w:val="center"/>
      </w:pPr>
      <w:r>
        <w:rPr>
          <w:sz w:val="24"/>
        </w:rPr>
        <w:t xml:space="preserve">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19. Показатели кратности мероприятий, входящих в состав услуги при ортезировании аппаратами, туторами, корсетами (жесткими), головодержателями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в рабочих днях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1"/>
        <w:gridCol w:w="2515"/>
        <w:gridCol w:w="1247"/>
        <w:gridCol w:w="1361"/>
        <w:gridCol w:w="1361"/>
        <w:gridCol w:w="1411"/>
        <w:gridCol w:w="1304"/>
        <w:gridCol w:w="1531"/>
        <w:gridCol w:w="1247"/>
        <w:gridCol w:w="1020"/>
      </w:tblGrid>
      <w:tr>
        <w:tc>
          <w:tcPr>
            <w:tcW w:w="58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gridSpan w:val="8"/>
            <w:tcW w:w="119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диапазон единиц мероприятий, входящих в состав услуги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vMerge w:val="continue"/>
          </w:tcPr>
          <w:p/>
        </w:tc>
        <w:tc>
          <w:tcPr>
            <w:tcW w:w="25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Подготовка к ортезированию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Психологическая помощь в процессе ортезирования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Техническое обслуживание, ремонт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Сопровождение в процессе пользования ортезом</w:t>
            </w:r>
          </w:p>
        </w:tc>
        <w:tc>
          <w:tcPr>
            <w:vMerge w:val="continue"/>
          </w:tcPr>
          <w:p/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3" w:tooltip="ЦРГ 12.5 - инвалиды, получившие ранение (травму, контузию, увечье) или заболевание в связи с участием в боевых действиях, с последствиями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ЦРГ 12.5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3.5 - инвалиды, получившие травму, ранение, контузию, увечье в связи с боевыми действиями, вследствие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ЦРГ 13.5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14 - 32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4" w:tooltip="ЦРГ 12.6 - инвалиды, получившие ранение (травму, контузию, увечье) или заболевание в связи с участием в боевых действиях, с последствиями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ЦРГ 12.6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3.6 - инвалиды, получившие травму, ранение, контузию, увечье в связи с боевыми действиями, вследствие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ЦРГ 13.6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14 - 32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5" w:tooltip="ЦРГ 12.7 - инвалиды, получившие ранение (травму, контузию, увечье) или заболевание в связи с участием в боевых действиях, с последствиями поражения периферической нервной системы;">
              <w:r>
                <w:rPr>
                  <w:sz w:val="24"/>
                  <w:color w:val="0000ff"/>
                </w:rPr>
                <w:t xml:space="preserve">ЦРГ 12.7</w:t>
              </w:r>
            </w:hyperlink>
            <w:r>
              <w:rPr>
                <w:sz w:val="24"/>
              </w:rPr>
              <w:t xml:space="preserve">, </w:t>
            </w:r>
            <w:hyperlink w:history="0" w:anchor="P114" w:tooltip="ЦРГ 13.7 - инвалиды, получившие травму, ранение, контузию, увечье в связи с боевыми действиями, вследствие поражения периферической нервной системы;">
              <w:r>
                <w:rPr>
                  <w:sz w:val="24"/>
                  <w:color w:val="0000ff"/>
                </w:rPr>
                <w:t xml:space="preserve">ЦРГ 13.7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14 - 32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7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ЦРГ 12.13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ЦРГ 13.13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14 - 32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20. Показатели кратности мероприятий, входящих в состав услуги при ортезировании реклинаторами, бандажами, корсетами (полужесткими, мягкими)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в рабочих днях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1"/>
        <w:gridCol w:w="2515"/>
        <w:gridCol w:w="1247"/>
        <w:gridCol w:w="1361"/>
        <w:gridCol w:w="1361"/>
        <w:gridCol w:w="1411"/>
        <w:gridCol w:w="1304"/>
        <w:gridCol w:w="1531"/>
        <w:gridCol w:w="1247"/>
        <w:gridCol w:w="1020"/>
      </w:tblGrid>
      <w:tr>
        <w:tc>
          <w:tcPr>
            <w:tcW w:w="58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gridSpan w:val="8"/>
            <w:tcW w:w="119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диапазон единиц мероприятий, входящих в состав услуги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vMerge w:val="continue"/>
          </w:tcPr>
          <w:p/>
        </w:tc>
        <w:tc>
          <w:tcPr>
            <w:tcW w:w="25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Подготовка к ортезированию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Психологическая помощь в процессе ортезирования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Техническое обслуживание, ремонт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Сопровождение в процессе пользования ортезом</w:t>
            </w:r>
          </w:p>
        </w:tc>
        <w:tc>
          <w:tcPr>
            <w:vMerge w:val="continue"/>
          </w:tcPr>
          <w:p/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3" w:tooltip="ЦРГ 12.5 - инвалиды, получившие ранение (травму, контузию, увечье) или заболевание в связи с участием в боевых действиях, с последствиями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ЦРГ 12.5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3.5 - инвалиды, получившие травму, ранение, контузию, увечье в связи с боевыми действиями, вследствие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ЦРГ 13.5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7 - 13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4" w:tooltip="ЦРГ 12.6 - инвалиды, получившие ранение (травму, контузию, увечье) или заболевание в связи с участием в боевых действиях, с последствиями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ЦРГ 12.6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3.6 - инвалиды, получившие травму, ранение, контузию, увечье в связи с боевыми действиями, вследствие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ЦРГ 13.6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7 - 13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5" w:tooltip="ЦРГ 12.7 - инвалиды, получившие ранение (травму, контузию, увечье) или заболевание в связи с участием в боевых действиях, с последствиями поражения периферической нервной системы;">
              <w:r>
                <w:rPr>
                  <w:sz w:val="24"/>
                  <w:color w:val="0000ff"/>
                </w:rPr>
                <w:t xml:space="preserve">ЦРГ 12.7</w:t>
              </w:r>
            </w:hyperlink>
            <w:r>
              <w:rPr>
                <w:sz w:val="24"/>
              </w:rPr>
              <w:t xml:space="preserve">, </w:t>
            </w:r>
            <w:hyperlink w:history="0" w:anchor="P114" w:tooltip="ЦРГ 13.7 - инвалиды, получившие травму, ранение, контузию, увечье в связи с боевыми действиями, вследствие поражения периферической нервной системы;">
              <w:r>
                <w:rPr>
                  <w:sz w:val="24"/>
                  <w:color w:val="0000ff"/>
                </w:rPr>
                <w:t xml:space="preserve">ЦРГ 13.7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7 - 13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7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ЦРГ 12.13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ЦРГ 13.13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1 - 3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7 - 13</w:t>
            </w:r>
          </w:p>
        </w:tc>
      </w:tr>
    </w:tbl>
    <w:p>
      <w:pPr>
        <w:sectPr>
          <w:headerReference w:type="default" r:id="rId44"/>
          <w:headerReference w:type="first" r:id="rId44"/>
          <w:footerReference w:type="default" r:id="rId45"/>
          <w:footerReference w:type="first" r:id="rId45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21. Показатели кратности мероприятий, входящих в состав услуги при ортезировании обтуратором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в рабочих днях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1"/>
        <w:gridCol w:w="2515"/>
        <w:gridCol w:w="1247"/>
        <w:gridCol w:w="1361"/>
        <w:gridCol w:w="1361"/>
        <w:gridCol w:w="1411"/>
        <w:gridCol w:w="1304"/>
        <w:gridCol w:w="1531"/>
        <w:gridCol w:w="1247"/>
        <w:gridCol w:w="1020"/>
      </w:tblGrid>
      <w:tr>
        <w:tc>
          <w:tcPr>
            <w:tcW w:w="58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gridSpan w:val="8"/>
            <w:tcW w:w="119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диапазон единиц мероприятий, входящих в состав услуги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vMerge w:val="continue"/>
          </w:tcPr>
          <w:p/>
        </w:tc>
        <w:tc>
          <w:tcPr>
            <w:tcW w:w="25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Подготовка к ортезированию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Психологическая помощь в процессе ортезирования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Техническое обслуживание, ремонт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Сопровождение в процессе пользования ортезом</w:t>
            </w:r>
          </w:p>
        </w:tc>
        <w:tc>
          <w:tcPr>
            <w:vMerge w:val="continue"/>
          </w:tcPr>
          <w:p/>
        </w:tc>
      </w:tr>
      <w:tr>
        <w:tc>
          <w:tcPr>
            <w:tcW w:w="58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6" w:tooltip="ЦРГ 12.8 - инвалиды, получившие ранение (травму, контузию, увечье) или заболевание в связи с участием в боевых действиях, с последствиями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12.8</w:t>
              </w:r>
            </w:hyperlink>
            <w:r>
              <w:rPr>
                <w:sz w:val="24"/>
              </w:rPr>
              <w:t xml:space="preserve">, </w:t>
            </w:r>
            <w:hyperlink w:history="0" w:anchor="P115" w:tooltip="ЦРГ 13.8 - инвалиды, получившие травму, ранение, контузию, увечье в связи с боевыми действиями, вследствие поражения мозгового отдела черепа и головного мозга;">
              <w:r>
                <w:rPr>
                  <w:sz w:val="24"/>
                  <w:color w:val="0000ff"/>
                </w:rPr>
                <w:t xml:space="preserve">ЦРГ 13.8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2 - 3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8 - 13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22. Показатели кратности мероприятий, входящих в состав</w:t>
      </w:r>
    </w:p>
    <w:p>
      <w:pPr>
        <w:pStyle w:val="2"/>
        <w:jc w:val="center"/>
      </w:pPr>
      <w:r>
        <w:rPr>
          <w:sz w:val="24"/>
        </w:rPr>
        <w:t xml:space="preserve">услуги при ортезировании ортопедической обувью,</w:t>
      </w:r>
    </w:p>
    <w:p>
      <w:pPr>
        <w:pStyle w:val="2"/>
        <w:jc w:val="center"/>
      </w:pPr>
      <w:r>
        <w:rPr>
          <w:sz w:val="24"/>
        </w:rPr>
        <w:t xml:space="preserve">вкладными башмачками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в рабочих днях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1"/>
        <w:gridCol w:w="2515"/>
        <w:gridCol w:w="1247"/>
        <w:gridCol w:w="1361"/>
        <w:gridCol w:w="1361"/>
        <w:gridCol w:w="1411"/>
        <w:gridCol w:w="1304"/>
        <w:gridCol w:w="1531"/>
        <w:gridCol w:w="1247"/>
        <w:gridCol w:w="1020"/>
      </w:tblGrid>
      <w:tr>
        <w:tc>
          <w:tcPr>
            <w:tcW w:w="58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gridSpan w:val="8"/>
            <w:tcW w:w="119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диапазон единиц мероприятий, входящих в состав услуги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vMerge w:val="continue"/>
          </w:tcPr>
          <w:p/>
        </w:tc>
        <w:tc>
          <w:tcPr>
            <w:tcW w:w="25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Подготовка к ортезированию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Психологическая помощь в процессе ортезирования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Техническое обслуживание, ремонт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Сопровождение в процессе пользования ортезом</w:t>
            </w:r>
          </w:p>
        </w:tc>
        <w:tc>
          <w:tcPr>
            <w:vMerge w:val="continue"/>
          </w:tcPr>
          <w:p/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0" w:tooltip="ЦРГ 12.2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12.2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13.2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13.2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12 - 24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1" w:tooltip="ЦРГ 12.3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дной нижней конечности;">
              <w:r>
                <w:rPr>
                  <w:sz w:val="24"/>
                  <w:color w:val="0000ff"/>
                </w:rPr>
                <w:t xml:space="preserve">ЦРГ 12.3</w:t>
              </w:r>
            </w:hyperlink>
            <w:r>
              <w:rPr>
                <w:sz w:val="24"/>
              </w:rPr>
              <w:t xml:space="preserve">, </w:t>
            </w:r>
            <w:hyperlink w:history="0" w:anchor="P110" w:tooltip="ЦРГ 13.3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дной нижней конечности;">
              <w:r>
                <w:rPr>
                  <w:sz w:val="24"/>
                  <w:color w:val="0000ff"/>
                </w:rPr>
                <w:t xml:space="preserve">ЦРГ 13.3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12 - 24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2" w:tooltip="ЦРГ 12.4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нижних конечностей;">
              <w:r>
                <w:rPr>
                  <w:sz w:val="24"/>
                  <w:color w:val="0000ff"/>
                </w:rPr>
                <w:t xml:space="preserve">ЦРГ 12.4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13.4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нижних конечностей;">
              <w:r>
                <w:rPr>
                  <w:sz w:val="24"/>
                  <w:color w:val="0000ff"/>
                </w:rPr>
                <w:t xml:space="preserve">ЦРГ 13.4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12 - 24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3" w:tooltip="ЦРГ 12.5 - инвалиды, получившие ранение (травму, контузию, увечье) или заболевание в связи с участием в боевых действиях, с последствиями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ЦРГ 12.5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3.5 - инвалиды, получившие травму, ранение, контузию, увечье в связи с боевыми действиями, вследствие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ЦРГ 13.5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12 - 24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4" w:tooltip="ЦРГ 12.6 - инвалиды, получившие ранение (травму, контузию, увечье) или заболевание в связи с участием в боевых действиях, с последствиями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ЦРГ 12.6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3.6 - инвалиды, получившие травму, ранение, контузию, увечье в связи с боевыми действиями, вследствие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ЦРГ 13.6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12 - 24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5" w:tooltip="ЦРГ 12.7 - инвалиды, получившие ранение (травму, контузию, увечье) или заболевание в связи с участием в боевых действиях, с последствиями поражения периферической нервной системы;">
              <w:r>
                <w:rPr>
                  <w:sz w:val="24"/>
                  <w:color w:val="0000ff"/>
                </w:rPr>
                <w:t xml:space="preserve">ЦРГ 12.7</w:t>
              </w:r>
            </w:hyperlink>
            <w:r>
              <w:rPr>
                <w:sz w:val="24"/>
              </w:rPr>
              <w:t xml:space="preserve">, </w:t>
            </w:r>
            <w:hyperlink w:history="0" w:anchor="P114" w:tooltip="ЦРГ 13.7 - инвалиды, получившие травму, ранение, контузию, увечье в связи с боевыми действиями, вследствие поражения периферической нервной системы;">
              <w:r>
                <w:rPr>
                  <w:sz w:val="24"/>
                  <w:color w:val="0000ff"/>
                </w:rPr>
                <w:t xml:space="preserve">ЦРГ 13.7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12 - 24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7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ЦРГ 12.13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ЦРГ 13.13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12 - 24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23. Показатели кратности мероприятий, входящих в состав услуги при ортезировании специальной одеждой для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в рабочих днях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81"/>
        <w:gridCol w:w="2515"/>
        <w:gridCol w:w="1247"/>
        <w:gridCol w:w="1361"/>
        <w:gridCol w:w="1361"/>
        <w:gridCol w:w="1411"/>
        <w:gridCol w:w="1304"/>
        <w:gridCol w:w="1531"/>
        <w:gridCol w:w="1247"/>
        <w:gridCol w:w="1020"/>
      </w:tblGrid>
      <w:tr>
        <w:tc>
          <w:tcPr>
            <w:tcW w:w="58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gridSpan w:val="8"/>
            <w:tcW w:w="119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Рекомендуемый диапазон единиц мероприятий, входящих в состав услуги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Итого</w:t>
            </w:r>
          </w:p>
        </w:tc>
      </w:tr>
      <w:tr>
        <w:tc>
          <w:tcPr>
            <w:vMerge w:val="continue"/>
          </w:tcPr>
          <w:p/>
        </w:tc>
        <w:tc>
          <w:tcPr>
            <w:tcW w:w="251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ЦРГ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Подготовка к ортезированию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Психологическая помощь в процессе ортезирования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Техническое обслуживание, ремонт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Сопровождение в процессе пользования ортезом</w:t>
            </w:r>
          </w:p>
        </w:tc>
        <w:tc>
          <w:tcPr>
            <w:vMerge w:val="continue"/>
          </w:tcPr>
          <w:p/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0" w:tooltip="ЦРГ 12.2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12.2</w:t>
              </w:r>
            </w:hyperlink>
            <w:r>
              <w:rPr>
                <w:sz w:val="24"/>
              </w:rPr>
              <w:t xml:space="preserve">, </w:t>
            </w:r>
            <w:hyperlink w:history="0" w:anchor="P109" w:tooltip="ЦРГ 13.2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13.2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13 - 25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2" w:tooltip="ЦРГ 12.4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нижних конечностей;">
              <w:r>
                <w:rPr>
                  <w:sz w:val="24"/>
                  <w:color w:val="0000ff"/>
                </w:rPr>
                <w:t xml:space="preserve">ЦРГ 12.4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13.4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нижних конечностей;">
              <w:r>
                <w:rPr>
                  <w:sz w:val="24"/>
                  <w:color w:val="0000ff"/>
                </w:rPr>
                <w:t xml:space="preserve">ЦРГ 13.4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13 - 25</w:t>
            </w:r>
          </w:p>
        </w:tc>
      </w:tr>
      <w:tr>
        <w:tc>
          <w:tcPr>
            <w:tcW w:w="58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515" w:type="dxa"/>
            <w:vAlign w:val="center"/>
          </w:tcPr>
          <w:p>
            <w:pPr>
              <w:pStyle w:val="0"/>
            </w:pPr>
            <w:hyperlink w:history="0" w:anchor="P103" w:tooltip="ЦРГ 12.5 - инвалиды, получившие ранение (травму, контузию, увечье) или заболевание в связи с участием в боевых действиях, с последствиями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ЦРГ 12.5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3.5 - инвалиды, получившие травму, ранение, контузию, увечье в связи с боевыми действиями, вследствие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ЦРГ 13.5</w:t>
              </w:r>
            </w:hyperlink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41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4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13 - 25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4" w:tooltip="ЦРГ 12.6 - инвалиды, получившие ранение (травму, контузию, увечье) или заболевание в связи с участием в боевых действиях, с последствиями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ЦРГ 12.6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3.6 - инвалиды, получившие травму, ранение, контузию, увечье в связи с боевыми действиями, вследствие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ЦРГ 13.6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13 - 25</w:t>
            </w:r>
          </w:p>
        </w:tc>
      </w:tr>
      <w:tr>
        <w:tc>
          <w:tcPr>
            <w:tcW w:w="5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515" w:type="dxa"/>
          </w:tcPr>
          <w:p>
            <w:pPr>
              <w:pStyle w:val="0"/>
            </w:pPr>
            <w:hyperlink w:history="0" w:anchor="P107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ЦРГ 12.13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ЦРГ 13.13</w:t>
              </w:r>
            </w:hyperlink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1 - 5</w:t>
            </w:r>
          </w:p>
        </w:tc>
        <w:tc>
          <w:tcPr>
            <w:tcW w:w="13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7 - 14</w:t>
            </w:r>
          </w:p>
        </w:tc>
        <w:tc>
          <w:tcPr>
            <w:tcW w:w="14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1 - 2</w:t>
            </w:r>
          </w:p>
        </w:tc>
        <w:tc>
          <w:tcPr>
            <w:tcW w:w="13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 менее 1</w:t>
            </w:r>
          </w:p>
        </w:tc>
        <w:tc>
          <w:tcPr>
            <w:tcW w:w="12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13 - 25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24. Показатели продолжительности мероприятий, входящих в состав услуги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1"/>
        <w:gridCol w:w="8957"/>
        <w:gridCol w:w="4025"/>
      </w:tblGrid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895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мероприятия</w:t>
            </w:r>
          </w:p>
        </w:tc>
        <w:tc>
          <w:tcPr>
            <w:tcW w:w="40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Минимальная продолжительность одного мероприятия, ч</w:t>
            </w:r>
          </w:p>
        </w:tc>
      </w:tr>
      <w:tr>
        <w:tc>
          <w:tcPr>
            <w:tcW w:w="571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8957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Подготовка к ортезированию</w:t>
            </w:r>
          </w:p>
        </w:tc>
        <w:tc>
          <w:tcPr>
            <w:tcW w:w="402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8957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помощь в процессе ортезирования</w:t>
            </w:r>
          </w:p>
        </w:tc>
        <w:tc>
          <w:tcPr>
            <w:tcW w:w="40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8957" w:type="dxa"/>
          </w:tcPr>
          <w:p>
            <w:pPr>
              <w:pStyle w:val="0"/>
            </w:pPr>
            <w:r>
              <w:rPr>
                <w:sz w:val="24"/>
              </w:rPr>
              <w:t xml:space="preserve">Производство (изготовление)</w:t>
            </w:r>
          </w:p>
        </w:tc>
        <w:tc>
          <w:tcPr>
            <w:tcW w:w="40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8957" w:type="dxa"/>
          </w:tcPr>
          <w:p>
            <w:pPr>
              <w:pStyle w:val="0"/>
            </w:pPr>
            <w:r>
              <w:rPr>
                <w:sz w:val="24"/>
              </w:rPr>
              <w:t xml:space="preserve">Подгонка (настройка) ПОИ</w:t>
            </w:r>
          </w:p>
        </w:tc>
        <w:tc>
          <w:tcPr>
            <w:tcW w:w="40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8957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инвалида безопасному и эффективному пользованию ПОИ</w:t>
            </w:r>
          </w:p>
        </w:tc>
        <w:tc>
          <w:tcPr>
            <w:tcW w:w="40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8957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Техническое обслуживание, ремонт</w:t>
            </w:r>
          </w:p>
        </w:tc>
        <w:tc>
          <w:tcPr>
            <w:tcW w:w="40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  <w:tr>
        <w:tc>
          <w:tcPr>
            <w:tcW w:w="5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8957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процессе пользования ортезом</w:t>
            </w:r>
          </w:p>
        </w:tc>
        <w:tc>
          <w:tcPr>
            <w:tcW w:w="40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Раздел VIII. Примерный перечень необходимого реабилитационного оборудования (вспомогательных и технических средств реабилитации), которым должна быть оснащена реабилитационная организация для оказания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76"/>
        <w:gridCol w:w="2381"/>
        <w:gridCol w:w="6576"/>
        <w:gridCol w:w="2150"/>
        <w:gridCol w:w="1928"/>
      </w:tblGrid>
      <w:tr>
        <w:tc>
          <w:tcPr>
            <w:tcW w:w="5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групп реабилитационного оборудования </w:t>
            </w:r>
            <w:hyperlink w:history="0" w:anchor="P1098" w:tooltip="&lt;7&gt; ГОСТ Р 59904-2021 &quot;Национальный стандарт Российской Федерации. Оснащение организаций, оказывающих услуги по протезированию и ортезированию. Общие требования&quot;, введенный в действие приказом Федерального агентства по техническому регулированию и метрологии от 29 ноября 2021 г. N 1630-ст (М.: Российский институт стандартизации, 2021).">
              <w:r>
                <w:rPr>
                  <w:sz w:val="24"/>
                  <w:color w:val="0000ff"/>
                </w:rPr>
                <w:t xml:space="preserve">&lt;7&gt;</w:t>
              </w:r>
            </w:hyperlink>
          </w:p>
        </w:tc>
        <w:tc>
          <w:tcPr>
            <w:tcW w:w="65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Примерный перечень реабилитационного оборудования</w:t>
            </w:r>
          </w:p>
        </w:tc>
        <w:tc>
          <w:tcPr>
            <w:tcW w:w="21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вида/класса </w:t>
            </w:r>
            <w:hyperlink w:history="0" w:anchor="P1099" w:tooltip="&lt;8&gt; Наименования и код вида/класса вспомогательных средств и технических средств реабилитации приведены в соответствии с ГОСТ Р ИСО 9999-2019 &quot;Национальный стандарт Российской Федерации. Вспомогательные средства для людей с ограничениями жизнедеятельности. Классификация и терминология&quot;, введенного в действие приказом Федерального агентства по техническому регулированию и метрологии от 29 августа 2019 г. N 586-ст (М.: Стандартинформ, 2019) и приказом Минздрава России N 4н.">
              <w:r>
                <w:rPr>
                  <w:sz w:val="24"/>
                  <w:color w:val="0000ff"/>
                </w:rPr>
                <w:t xml:space="preserve">&lt;8&gt;</w:t>
              </w:r>
            </w:hyperlink>
            <w:r>
              <w:rPr>
                <w:sz w:val="24"/>
              </w:rPr>
              <w:t xml:space="preserve"> (при наличии)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ЦРГ</w:t>
            </w:r>
          </w:p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3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обследовании инвалида, контроля качества оказания услуги</w:t>
            </w:r>
          </w:p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ручным приводом и дополнительным силовым блоком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hyperlink w:history="0" r:id="rId46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12 22 12</w:t>
              </w:r>
            </w:hyperlink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Ходунки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hyperlink w:history="0" r:id="rId47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12 06 03</w:t>
              </w:r>
            </w:hyperlink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</w:tcPr>
          <w:p>
            <w:pPr>
              <w:pStyle w:val="0"/>
            </w:pPr>
            <w:r>
              <w:rPr>
                <w:sz w:val="24"/>
              </w:rPr>
              <w:t xml:space="preserve">Костыли с подлокотниками;</w:t>
            </w:r>
          </w:p>
          <w:p>
            <w:pPr>
              <w:pStyle w:val="0"/>
            </w:pPr>
            <w:r>
              <w:rPr>
                <w:sz w:val="24"/>
              </w:rPr>
              <w:t xml:space="preserve">костыли подмышечные</w:t>
            </w:r>
          </w:p>
        </w:tc>
        <w:tc>
          <w:tcPr>
            <w:tcW w:w="2150" w:type="dxa"/>
          </w:tcPr>
          <w:p>
            <w:pPr>
              <w:pStyle w:val="0"/>
            </w:pPr>
            <w:hyperlink w:history="0" r:id="rId48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12 03 09</w:t>
              </w:r>
            </w:hyperlink>
          </w:p>
          <w:p>
            <w:pPr>
              <w:pStyle w:val="0"/>
            </w:pPr>
            <w:hyperlink w:history="0" r:id="rId49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12 03 09</w:t>
              </w:r>
            </w:hyperlink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Трости (регулируемые, с подлокотниками)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hyperlink w:history="0" r:id="rId50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12 03 03</w:t>
              </w:r>
            </w:hyperlink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116940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Ширма медицинская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184200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Негатоскоп медицинский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238840, 238570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Подоскоп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202150, 238570, 238840, 248490, 248490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Уровень лазерный/нивелир/установка лазерная для контроля качества сборки протезов и ортезов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Отвес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Уровень/ватерпас для таза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Весы напольные (электронные, механические)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258800, 258840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Ростомер медицинский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157600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Лента измерительная, многоразового использования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105620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Набор мерных клиньев (дощечек)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Угломер складной (или гониометр)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181060, 181270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Облучатель ультрафиолетовый бактерицидный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131980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Очиститель воздуха фильтрующий высокоэффективный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152690, 152700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измерения артериального давления электрический с ручным нагнетением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122830, 122850</w:t>
            </w:r>
          </w:p>
        </w:tc>
        <w:tc>
          <w:tcPr>
            <w:vMerge w:val="continue"/>
          </w:tcPr>
          <w:p/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3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 для проведения мероприятий по подготовке к ортезированию</w:t>
            </w:r>
          </w:p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Комплект мягких модулей для зала лечебной физкультуры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Система электростимуляции для улучшения ходьбы, внешняя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156650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Тренажер для пассивной/активной разработки тазобедренного/коленного сустава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102930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Тренажер для пассивной разработки плечевого/локтевого сустава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208810</w:t>
            </w:r>
          </w:p>
        </w:tc>
        <w:tc>
          <w:tcPr>
            <w:vMerge w:val="continue"/>
          </w:tcPr>
          <w:p/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3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обучении пользованию изделием</w:t>
            </w:r>
          </w:p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Тренажер в виде параллельных брусьев для тренировки ходьбы, без электропитания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213860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Зеркала настенные (высокие, настольные)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Стойка примерочная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Платформа с уклоном и ступенями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Дорожка с различными видами покрытий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Платформа балансирующая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116940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Ширма медицинская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184200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Стенд тренировочный для развития бытовых навыков и мелкой моторики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Универсальный эспандер ленточный/фитнес-резинки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Мяч волейбольный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Большой гимнастический мяч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Манжета-утяжелитель для ног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Блок для йоги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Набор гантелей виниловых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Бодибар (палка гимнастическая)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Костыли канадские (подлокотные)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Треккинговые палки (палки для скандинавской ходьбы)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Ходунки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hyperlink w:history="0" r:id="rId51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12 06 03</w:t>
              </w:r>
            </w:hyperlink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</w:tcPr>
          <w:p>
            <w:pPr>
              <w:pStyle w:val="0"/>
            </w:pPr>
            <w:r>
              <w:rPr>
                <w:sz w:val="24"/>
              </w:rPr>
              <w:t xml:space="preserve">Костыли с подлокотниками;</w:t>
            </w:r>
          </w:p>
          <w:p>
            <w:pPr>
              <w:pStyle w:val="0"/>
            </w:pPr>
            <w:r>
              <w:rPr>
                <w:sz w:val="24"/>
              </w:rPr>
              <w:t xml:space="preserve">костыли подмышечные</w:t>
            </w:r>
          </w:p>
        </w:tc>
        <w:tc>
          <w:tcPr>
            <w:tcW w:w="2150" w:type="dxa"/>
          </w:tcPr>
          <w:p>
            <w:pPr>
              <w:pStyle w:val="0"/>
            </w:pPr>
            <w:hyperlink w:history="0" r:id="rId52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12 03 09</w:t>
              </w:r>
            </w:hyperlink>
          </w:p>
          <w:p>
            <w:pPr>
              <w:pStyle w:val="0"/>
            </w:pPr>
            <w:hyperlink w:history="0" r:id="rId53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      <w:r>
                <w:rPr>
                  <w:sz w:val="24"/>
                  <w:color w:val="0000ff"/>
                </w:rPr>
                <w:t xml:space="preserve">12 03 09</w:t>
              </w:r>
            </w:hyperlink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Горка для ходьбы реабилитационная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3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снятии гипсовых слепков</w:t>
            </w:r>
          </w:p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Стол/кушетка массажный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116940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Рама Энгельмана с петлей Глиссона - рама с устройством для вытяжения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Стойка примерочная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Аппарат для гипсования (устройство для снятия негатива)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Опора при стоянии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Мерные дощечки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Клинья прижимные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Сосуд с крышкой с вазелином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Верстак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Устройство для переноса размеров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Термошкаф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Тумбочка для гипсовых бинтов и комплектующих или шкаф для хранения гипсовых бинтов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Стеллаж для слепков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Раковина с гипсоотстойником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Раковина для ног (душевая кабина)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Табурет вращающийся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3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работе с гипсом</w:t>
            </w:r>
          </w:p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 для гипсового моделирования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Устройство (тиски) для фиксации гипсовых позитивов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Емкость с песком для фиксации гипсового негатива при заливке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Термошкаф для сушки гипсовых позитивов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Раковина с гипсоотстойником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Бункер/дозатор для гипса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Инструмент ручной для обработки гипсовых позитивов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Емкость для приготовления гипсового раствора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3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изготовлении гильзы ортеза по аддитивной технологии</w:t>
            </w:r>
          </w:p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3D-сканер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Компьютер с программным продуктом 3D моделировании приемной гильзы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3D-принтер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Кушетка медицинская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Табурет вращающийся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23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изготовлении гильзы ортеза</w:t>
            </w:r>
          </w:p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Из листового термопласта: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 раскройный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термостол или термошкаф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устройство для фиксации гипсовых позитивов (верстак или стойка с тисками)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насос вакуумный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пила дисковая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компрессор мобильный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ножницы рычажные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прочий ручной инструмент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Из литьевого слоистого пластика: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 рабочий с тисками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установка вакуумная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верстак с тумбочкой с выдвижными ящиками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весы электронные настольные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шкаф вытяжной для замешивания литьевых смол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шкаф вытяжной для работы с препрегами и материалами из карбона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Из силикона: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верстак с тисками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инструмент ручной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вальцы для силикона (электрические, механические)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камера холодильная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рулетка измерительная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табурет вращающийся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23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механической обработке, сборке и подгонке изделия</w:t>
            </w:r>
          </w:p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Верстак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Станок шлифовально-фрезерный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Станок сверлильный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Станок точильный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Станок ленточно-пильный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Станок ленточно-шлифовальный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Установка для стружкоотсоса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Установка компрессорная для удаления позитива из гильзы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Ножницы рычажные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Фен технический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Инструмент ручной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Устройство для сборки протезов и/или ортезов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Установка лазерная для контроля качества сборки протезов и ортезов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Табурет вращающийся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23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пошиве корсетно-бандажных изделий, специальной одежды для инвалидов</w:t>
            </w:r>
          </w:p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 рабочий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hyperlink w:history="0" w:anchor="P100" w:tooltip="ЦРГ 12.2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12.2</w:t>
              </w:r>
            </w:hyperlink>
            <w:r>
              <w:rPr>
                <w:sz w:val="24"/>
              </w:rPr>
              <w:t xml:space="preserve">, </w:t>
            </w:r>
            <w:hyperlink w:history="0" w:anchor="P103" w:tooltip="ЦРГ 12.5 - инвалиды, получившие ранение (травму, контузию, увечье) или заболевание в связи с участием в боевых действиях, с последствиями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12.5</w:t>
              </w:r>
            </w:hyperlink>
            <w:r>
              <w:rPr>
                <w:sz w:val="24"/>
              </w:rPr>
              <w:t xml:space="preserve"> - </w:t>
            </w:r>
            <w:hyperlink w:history="0" w:anchor="P105" w:tooltip="ЦРГ 12.7 - инвалиды, получившие ранение (травму, контузию, увечье) или заболевание в связи с участием в боевых действиях, с последствиями поражения периферической нервной системы;">
              <w:r>
                <w:rPr>
                  <w:sz w:val="24"/>
                  <w:color w:val="0000ff"/>
                </w:rPr>
                <w:t xml:space="preserve">12.7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9" w:tooltip="ЦРГ 13.2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13.2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3.5 - инвалиды, получившие травму, ранение, контузию, увечье в связи с боевыми действиями, вследствие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13.5</w:t>
              </w:r>
            </w:hyperlink>
            <w:r>
              <w:rPr>
                <w:sz w:val="24"/>
              </w:rPr>
              <w:t xml:space="preserve"> - </w:t>
            </w:r>
            <w:hyperlink w:history="0" w:anchor="P114" w:tooltip="ЦРГ 13.7 - инвалиды, получившие травму, ранение, контузию, увечье в связи с боевыми действиями, вследствие поражения периферической нервной системы;">
              <w:r>
                <w:rPr>
                  <w:sz w:val="24"/>
                  <w:color w:val="0000ff"/>
                </w:rPr>
                <w:t xml:space="preserve">13.7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 раскройный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Машины производственные швейные для обработки легких и средних тканей, включая колонковые, рукавные, оверлок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Машины производственные швейные для кож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Устройство для установки блочек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Инструмент швейный ручной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3D-сканер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Компьютер с программным продуктом 3D моделировании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Плоттер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Стол рабочий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23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изготовлении сложной ортопедической обуви, вкладных башмачков</w:t>
            </w:r>
          </w:p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Место рабочее для гипсослепочных работ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hyperlink w:history="0" w:anchor="P101" w:tooltip="ЦРГ 12.3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дной нижней конечности;">
              <w:r>
                <w:rPr>
                  <w:sz w:val="24"/>
                  <w:color w:val="0000ff"/>
                </w:rPr>
                <w:t xml:space="preserve">ЦРГ 12.3</w:t>
              </w:r>
            </w:hyperlink>
            <w:r>
              <w:rPr>
                <w:sz w:val="24"/>
              </w:rPr>
              <w:t xml:space="preserve">, </w:t>
            </w:r>
            <w:hyperlink w:history="0" w:anchor="P103" w:tooltip="ЦРГ 12.5 - инвалиды, получившие ранение (травму, контузию, увечье) или заболевание в связи с участием в боевых действиях, с последствиями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12.5</w:t>
              </w:r>
            </w:hyperlink>
            <w:r>
              <w:rPr>
                <w:sz w:val="24"/>
              </w:rPr>
              <w:t xml:space="preserve"> - </w:t>
            </w:r>
            <w:hyperlink w:history="0" w:anchor="P105" w:tooltip="ЦРГ 12.7 - инвалиды, получившие ранение (травму, контузию, увечье) или заболевание в связи с участием в боевых действиях, с последствиями поражения периферической нервной системы;">
              <w:r>
                <w:rPr>
                  <w:sz w:val="24"/>
                  <w:color w:val="0000ff"/>
                </w:rPr>
                <w:t xml:space="preserve">12.7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0" w:tooltip="ЦРГ 13.3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дной нижней конечности;">
              <w:r>
                <w:rPr>
                  <w:sz w:val="24"/>
                  <w:color w:val="0000ff"/>
                </w:rPr>
                <w:t xml:space="preserve">ЦРГ 13.3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3.5 - инвалиды, получившие травму, ранение, контузию, увечье в связи с боевыми действиями, вследствие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13.5</w:t>
              </w:r>
            </w:hyperlink>
            <w:r>
              <w:rPr>
                <w:sz w:val="24"/>
              </w:rPr>
              <w:t xml:space="preserve"> - </w:t>
            </w:r>
            <w:hyperlink w:history="0" w:anchor="P114" w:tooltip="ЦРГ 13.7 - инвалиды, получившие травму, ранение, контузию, увечье в связи с боевыми действиями, вследствие поражения периферической нервной системы;">
              <w:r>
                <w:rPr>
                  <w:sz w:val="24"/>
                  <w:color w:val="0000ff"/>
                </w:rPr>
                <w:t xml:space="preserve">13.7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Верстак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Машина для спускания краев кожи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Машины производственные швейные для кож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Устройство для установки блочек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Установка для увлажнения заготовок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Установка для глубокой вытяжки термопластов и кожи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Активатор клеевых пленок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Пресс для приклеивания подошв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Машина фрезерно-шлифовальная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Фен технический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Термопечь теновая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Инструмент ручной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3D-сканер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Компьютер с программным продуктом 3D моделировании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Плоттер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tcW w:w="576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2381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Оснащение, применяемое при изготовлении гипсовой колодки для ортопедической обуви и вкладных башмачков</w:t>
            </w:r>
          </w:p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Пост медицинский (подиум) для снятия гипсового слепка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928" w:type="dxa"/>
            <w:vMerge w:val="restart"/>
          </w:tcPr>
          <w:p>
            <w:pPr>
              <w:pStyle w:val="0"/>
            </w:pPr>
            <w:hyperlink w:history="0" w:anchor="P101" w:tooltip="ЦРГ 12.3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дной нижней конечности;">
              <w:r>
                <w:rPr>
                  <w:sz w:val="24"/>
                  <w:color w:val="0000ff"/>
                </w:rPr>
                <w:t xml:space="preserve">ЦРГ 12.3</w:t>
              </w:r>
            </w:hyperlink>
            <w:r>
              <w:rPr>
                <w:sz w:val="24"/>
              </w:rPr>
              <w:t xml:space="preserve">, </w:t>
            </w:r>
            <w:hyperlink w:history="0" w:anchor="P103" w:tooltip="ЦРГ 12.5 - инвалиды, получившие ранение (травму, контузию, увечье) или заболевание в связи с участием в боевых действиях, с последствиями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12.5</w:t>
              </w:r>
            </w:hyperlink>
            <w:r>
              <w:rPr>
                <w:sz w:val="24"/>
              </w:rPr>
              <w:t xml:space="preserve">, </w:t>
            </w:r>
            <w:hyperlink w:history="0" w:anchor="P104" w:tooltip="ЦРГ 12.6 - инвалиды, получившие ранение (травму, контузию, увечье) или заболевание в связи с участием в боевых действиях, с последствиями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12.6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10" w:tooltip="ЦРГ 13.3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дной нижней конечности;">
              <w:r>
                <w:rPr>
                  <w:sz w:val="24"/>
                  <w:color w:val="0000ff"/>
                </w:rPr>
                <w:t xml:space="preserve">ЦРГ 13.3</w:t>
              </w:r>
            </w:hyperlink>
            <w:r>
              <w:rPr>
                <w:sz w:val="24"/>
              </w:rPr>
              <w:t xml:space="preserve">, </w:t>
            </w:r>
            <w:hyperlink w:history="0" w:anchor="P112" w:tooltip="ЦРГ 13.5 - инвалиды, получившие травму, ранение, контузию, увечье в связи с боевыми действиями, вследствие травм, термических и химических ожогов, отморожений конечностей с формированием анкилозов, контрактур и стягивающих рубцов;">
              <w:r>
                <w:rPr>
                  <w:sz w:val="24"/>
                  <w:color w:val="0000ff"/>
                </w:rPr>
                <w:t xml:space="preserve">13.5</w:t>
              </w:r>
            </w:hyperlink>
            <w:r>
              <w:rPr>
                <w:sz w:val="24"/>
              </w:rPr>
              <w:t xml:space="preserve">, </w:t>
            </w:r>
            <w:hyperlink w:history="0" w:anchor="P113" w:tooltip="ЦРГ 13.6 - инвалиды, получившие травму, ранение, контузию, увечье в связи с боевыми действиями, вследствие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13.6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Нож хирургический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Емкость для воды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Раковина с гипсоотстойником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Уголок металлический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Коски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Верстак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Емкость каучуковая (резиновая) для гипса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Чаша для гипса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Сетка металлическая шлифовальная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Форма для носочной части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Термошкаф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Инструмент ручной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Материалы расходные (пакет целлофановый, перчатки одноразовые, чулок капроновый)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3 D-сканер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6576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Компьютер с программным продуктом 3D моделировании</w:t>
            </w:r>
          </w:p>
        </w:tc>
        <w:tc>
          <w:tcPr>
            <w:tcW w:w="215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vMerge w:val="continue"/>
          </w:tcPr>
          <w:p/>
        </w:tc>
      </w:tr>
    </w:tbl>
    <w:p>
      <w:pPr>
        <w:sectPr>
          <w:headerReference w:type="default" r:id="rId44"/>
          <w:headerReference w:type="first" r:id="rId44"/>
          <w:footerReference w:type="default" r:id="rId45"/>
          <w:footerReference w:type="first" r:id="rId45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098" w:name="P1098"/>
    <w:bookmarkEnd w:id="109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54" w:tooltip="&quot;ГОСТ Р 59904-2021. Национальный стандарт Российской Федерации. Оснащение организаций, оказывающих услуги по протезированию и ортезированию. Общие требования&quot; (утв. и введен в действие Приказом Росстандарта от 29.11.2021 N 1630-ст) {КонсультантПлюс}">
        <w:r>
          <w:rPr>
            <w:sz w:val="24"/>
            <w:color w:val="0000ff"/>
          </w:rPr>
          <w:t xml:space="preserve">ГОСТ Р 59904-2021</w:t>
        </w:r>
      </w:hyperlink>
      <w:r>
        <w:rPr>
          <w:sz w:val="24"/>
        </w:rPr>
        <w:t xml:space="preserve"> "Национальный стандарт Российской Федерации. Оснащение организаций, оказывающих услуги по протезированию и ортезированию. Общие требования", введенный в действие </w:t>
      </w:r>
      <w:hyperlink w:history="0" r:id="rId55" w:tooltip="Приказ Росстандарта от 29.11.2021 N 1630-ст &quot;Об утверждении национального стандарта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29 ноября 2021 г. N 1630-ст (М.: Российский институт стандартизации, 2021).</w:t>
      </w:r>
    </w:p>
    <w:bookmarkStart w:id="1099" w:name="P1099"/>
    <w:bookmarkEnd w:id="109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Наименования и код вида/класса вспомогательных средств и технических средств реабилитации приведены в соответствии с </w:t>
      </w:r>
      <w:hyperlink w:history="0" r:id="rId56" w:tooltip="&quot;ГОСТ Р ИСО 9999-2019. Национальный стандарт Российской Федерации. Вспомогательные средства для людей с ограничениями жизнедеятельности. Классификация и терминология&quot; (утв. и введен в действие Приказом Росстандарта от 29.08.2019 N 586-ст) {КонсультантПлюс}">
        <w:r>
          <w:rPr>
            <w:sz w:val="24"/>
            <w:color w:val="0000ff"/>
          </w:rPr>
          <w:t xml:space="preserve">ГОСТ Р ИСО 9999-2019</w:t>
        </w:r>
      </w:hyperlink>
      <w:r>
        <w:rPr>
          <w:sz w:val="24"/>
        </w:rPr>
        <w:t xml:space="preserve"> "Национальный стандарт Российской Федерации. Вспомогательные средства для людей с ограничениями жизнедеятельности. Классификация и терминология", введенного в действие </w:t>
      </w:r>
      <w:hyperlink w:history="0" r:id="rId57" w:tooltip="Приказ Росстандарта от 29.08.2019 N 586-ст &quot;Об утверждении национального стандарта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29 августа 2019 г. N 586-ст (М.: Стандартинформ, 2019) и </w:t>
      </w:r>
      <w:hyperlink w:history="0" r:id="rId58" w:tooltip="Приказ Минздрава России от 06.06.2012 N 4н (ред. от 07.07.2020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сам в зависимости от потенциального риска их применения&quot;) (Зарегистрировано в Минюсте России 09.07.2012 N 2485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Минздрава России N 4н.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IX. Примерный перечень методов, технологий и методик,</w:t>
      </w:r>
    </w:p>
    <w:p>
      <w:pPr>
        <w:pStyle w:val="2"/>
        <w:jc w:val="center"/>
      </w:pPr>
      <w:r>
        <w:rPr>
          <w:sz w:val="24"/>
        </w:rPr>
        <w:t xml:space="preserve">необходимых для оказания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003"/>
        <w:gridCol w:w="5046"/>
        <w:gridCol w:w="3005"/>
      </w:tblGrid>
      <w:tr>
        <w:tblPrEx>
          <w:tblBorders>
            <w:insideH w:val="single" w:sz="4"/>
          </w:tblBorders>
        </w:tblPrEx>
        <w:tc>
          <w:tcPr>
            <w:tcW w:w="1003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5046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метода, технологии, методики</w:t>
            </w:r>
          </w:p>
        </w:tc>
        <w:tc>
          <w:tcPr>
            <w:tcW w:w="3005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Целевая реабилитационная группа</w:t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1003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5046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Методы физиотерапии:</w:t>
            </w:r>
          </w:p>
        </w:tc>
        <w:tc>
          <w:tcPr>
            <w:tcW w:w="3005" w:type="dxa"/>
            <w:tcBorders>
              <w:top w:val="single" w:sz="4"/>
              <w:bottom w:val="nil"/>
            </w:tcBorders>
            <w:vMerge w:val="restart"/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</w:tr>
      <w:tr>
        <w:tc>
          <w:tcPr>
            <w:tcW w:w="1003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</w:t>
            </w:r>
          </w:p>
        </w:tc>
        <w:tc>
          <w:tcPr>
            <w:tcW w:w="50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электромагнитотерапия;</w:t>
            </w:r>
          </w:p>
        </w:tc>
        <w:tc>
          <w:tcPr>
            <w:tcBorders>
              <w:top w:val="single" w:sz="4"/>
              <w:bottom w:val="nil"/>
            </w:tcBorders>
            <w:vMerge w:val="continue"/>
          </w:tcPr>
          <w:p/>
        </w:tc>
      </w:tr>
      <w:tr>
        <w:tc>
          <w:tcPr>
            <w:tcW w:w="1003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</w:t>
            </w:r>
          </w:p>
        </w:tc>
        <w:tc>
          <w:tcPr>
            <w:tcW w:w="50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фототерапия;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03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1.3</w:t>
            </w:r>
          </w:p>
        </w:tc>
        <w:tc>
          <w:tcPr>
            <w:tcW w:w="50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лечебный массаж;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03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1.4</w:t>
            </w:r>
          </w:p>
        </w:tc>
        <w:tc>
          <w:tcPr>
            <w:tcW w:w="50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водолечение;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03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1.5</w:t>
            </w:r>
          </w:p>
        </w:tc>
        <w:tc>
          <w:tcPr>
            <w:tcW w:w="50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кинезотерапия;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03" w:type="dxa"/>
            <w:tcBorders>
              <w:top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1.6</w:t>
            </w:r>
          </w:p>
        </w:tc>
        <w:tc>
          <w:tcPr>
            <w:tcW w:w="50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баротерапия</w:t>
            </w:r>
          </w:p>
        </w:tc>
        <w:tc>
          <w:tcPr>
            <w:tcW w:w="3005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100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5046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Методы лечебной физкультуры:</w:t>
            </w:r>
          </w:p>
        </w:tc>
        <w:tc>
          <w:tcPr>
            <w:tcW w:w="3005" w:type="dxa"/>
            <w:tcBorders>
              <w:top w:val="single" w:sz="4"/>
              <w:bottom w:val="nil"/>
            </w:tcBorders>
            <w:vMerge w:val="restart"/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</w:tr>
      <w:tr>
        <w:tc>
          <w:tcPr>
            <w:tcW w:w="1003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</w:t>
            </w:r>
          </w:p>
        </w:tc>
        <w:tc>
          <w:tcPr>
            <w:tcW w:w="50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лечебная гимнастика;</w:t>
            </w:r>
          </w:p>
        </w:tc>
        <w:tc>
          <w:tcPr>
            <w:tcBorders>
              <w:top w:val="single" w:sz="4"/>
              <w:bottom w:val="nil"/>
            </w:tcBorders>
            <w:vMerge w:val="continue"/>
          </w:tcPr>
          <w:p/>
        </w:tc>
      </w:tr>
      <w:tr>
        <w:tc>
          <w:tcPr>
            <w:tcW w:w="1003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</w:t>
            </w:r>
          </w:p>
        </w:tc>
        <w:tc>
          <w:tcPr>
            <w:tcW w:w="50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гидротерапия;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03" w:type="dxa"/>
            <w:tcBorders>
              <w:top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</w:t>
            </w:r>
          </w:p>
        </w:tc>
        <w:tc>
          <w:tcPr>
            <w:tcW w:w="50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механотерапия</w:t>
            </w:r>
          </w:p>
        </w:tc>
        <w:tc>
          <w:tcPr>
            <w:tcW w:w="3005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100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5046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Психостимулирующие методы</w:t>
            </w:r>
          </w:p>
        </w:tc>
        <w:tc>
          <w:tcPr>
            <w:tcW w:w="3005" w:type="dxa"/>
            <w:tcBorders>
              <w:top w:val="single" w:sz="4"/>
              <w:bottom w:val="nil"/>
            </w:tcBorders>
            <w:vMerge w:val="restart"/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</w:tr>
      <w:tr>
        <w:tc>
          <w:tcPr>
            <w:tcW w:w="1003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3.1</w:t>
            </w:r>
          </w:p>
        </w:tc>
        <w:tc>
          <w:tcPr>
            <w:tcW w:w="50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Транскранеальная низкочастотная магнитотерапия;</w:t>
            </w:r>
          </w:p>
        </w:tc>
        <w:tc>
          <w:tcPr>
            <w:tcBorders>
              <w:top w:val="single" w:sz="4"/>
              <w:bottom w:val="nil"/>
            </w:tcBorders>
            <w:vMerge w:val="continue"/>
          </w:tcPr>
          <w:p/>
        </w:tc>
      </w:tr>
      <w:tr>
        <w:tc>
          <w:tcPr>
            <w:tcW w:w="1003" w:type="dxa"/>
            <w:tcBorders>
              <w:top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3.2</w:t>
            </w:r>
          </w:p>
        </w:tc>
        <w:tc>
          <w:tcPr>
            <w:tcW w:w="50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мезодиэнцефальная модуляция</w:t>
            </w:r>
          </w:p>
        </w:tc>
        <w:tc>
          <w:tcPr>
            <w:tcW w:w="3005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1003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5046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Технологии изготовления ортезов:</w:t>
            </w:r>
          </w:p>
        </w:tc>
        <w:tc>
          <w:tcPr>
            <w:tcW w:w="3005" w:type="dxa"/>
            <w:vAlign w:val="bottom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03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4.1</w:t>
            </w:r>
          </w:p>
        </w:tc>
        <w:tc>
          <w:tcPr>
            <w:tcW w:w="50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туторов;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</w:tc>
      </w:tr>
      <w:tr>
        <w:tc>
          <w:tcPr>
            <w:tcW w:w="1003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4.2</w:t>
            </w:r>
          </w:p>
        </w:tc>
        <w:tc>
          <w:tcPr>
            <w:tcW w:w="50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аппаратов;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</w:tr>
      <w:tr>
        <w:tc>
          <w:tcPr>
            <w:tcW w:w="1003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4.3</w:t>
            </w:r>
          </w:p>
        </w:tc>
        <w:tc>
          <w:tcPr>
            <w:tcW w:w="50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головодержателей;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03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4.4</w:t>
            </w:r>
          </w:p>
        </w:tc>
        <w:tc>
          <w:tcPr>
            <w:tcW w:w="50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корсетов;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03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4.5</w:t>
            </w:r>
          </w:p>
        </w:tc>
        <w:tc>
          <w:tcPr>
            <w:tcW w:w="50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обтураторов;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03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4.6</w:t>
            </w:r>
          </w:p>
        </w:tc>
        <w:tc>
          <w:tcPr>
            <w:tcW w:w="50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бандажей;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03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4.7</w:t>
            </w:r>
          </w:p>
        </w:tc>
        <w:tc>
          <w:tcPr>
            <w:tcW w:w="50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реклинаторов</w:t>
            </w:r>
          </w:p>
        </w:tc>
        <w:tc>
          <w:tcPr>
            <w:tcW w:w="3005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1003" w:type="dxa"/>
            <w:tcBorders>
              <w:top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4.8</w:t>
            </w:r>
          </w:p>
        </w:tc>
        <w:tc>
          <w:tcPr>
            <w:tcW w:w="5046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сложной ортопедической обуви</w:t>
            </w:r>
          </w:p>
        </w:tc>
        <w:tc>
          <w:tcPr>
            <w:tcW w:w="3005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hyperlink w:history="0" w:anchor="P100" w:tooltip="ЦРГ 12.2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12.2</w:t>
              </w:r>
            </w:hyperlink>
            <w:r>
              <w:rPr>
                <w:sz w:val="24"/>
              </w:rPr>
              <w:t xml:space="preserve"> - </w:t>
            </w:r>
            <w:hyperlink w:history="0" w:anchor="P105" w:tooltip="ЦРГ 12.7 - инвалиды, получившие ранение (травму, контузию, увечье) или заболевание в связи с участием в боевых действиях, с последствиями поражения периферической нервной системы;">
              <w:r>
                <w:rPr>
                  <w:sz w:val="24"/>
                  <w:color w:val="0000ff"/>
                </w:rPr>
                <w:t xml:space="preserve">12.7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9" w:tooltip="ЦРГ 13.2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13.2</w:t>
              </w:r>
            </w:hyperlink>
            <w:r>
              <w:rPr>
                <w:sz w:val="24"/>
              </w:rPr>
              <w:t xml:space="preserve"> - </w:t>
            </w:r>
            <w:hyperlink w:history="0" w:anchor="P114" w:tooltip="ЦРГ 13.7 - инвалиды, получившие травму, ранение, контузию, увечье в связи с боевыми действиями, вследствие поражения периферической нервной системы;">
              <w:r>
                <w:rPr>
                  <w:sz w:val="24"/>
                  <w:color w:val="0000ff"/>
                </w:rPr>
                <w:t xml:space="preserve">13.7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blPrEx>
          <w:tblBorders>
            <w:insideH w:val="single" w:sz="4"/>
          </w:tblBorders>
        </w:tblPrEx>
        <w:tc>
          <w:tcPr>
            <w:tcW w:w="1003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4.9</w:t>
            </w:r>
          </w:p>
        </w:tc>
        <w:tc>
          <w:tcPr>
            <w:tcW w:w="5046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изготовление специальной одежды для инвалидов</w:t>
            </w:r>
          </w:p>
        </w:tc>
        <w:tc>
          <w:tcPr>
            <w:tcW w:w="3005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hyperlink w:history="0" w:anchor="P100" w:tooltip="ЦРГ 12.2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12.2</w:t>
              </w:r>
            </w:hyperlink>
            <w:r>
              <w:rPr>
                <w:sz w:val="24"/>
              </w:rPr>
              <w:t xml:space="preserve">, </w:t>
            </w:r>
            <w:hyperlink w:history="0" w:anchor="P102" w:tooltip="ЦРГ 12.4 - инвалиды, получившие ранение (травму, контузию, увечье) или заболевание в связи с участием в боевых действиях, вследствие приобретенного отсутствия (ампутации) обеих нижних конечностей;">
              <w:r>
                <w:rPr>
                  <w:sz w:val="24"/>
                  <w:color w:val="0000ff"/>
                </w:rPr>
                <w:t xml:space="preserve">12.4</w:t>
              </w:r>
            </w:hyperlink>
            <w:r>
              <w:rPr>
                <w:sz w:val="24"/>
              </w:rPr>
              <w:t xml:space="preserve"> - </w:t>
            </w:r>
            <w:hyperlink w:history="0" w:anchor="P104" w:tooltip="ЦРГ 12.6 - инвалиды, получившие ранение (травму, контузию, увечье) или заболевание в связи с участием в боевых действиях, с последствиями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12.6</w:t>
              </w:r>
            </w:hyperlink>
            <w:r>
              <w:rPr>
                <w:sz w:val="24"/>
              </w:rPr>
              <w:t xml:space="preserve">, </w:t>
            </w:r>
            <w:hyperlink w:history="0" w:anchor="P107" w:tooltip="ЦРГ 12.13 - инвалиды, получившие ранение (травму, контузию, увечье) или заболевание в связи с участием в боевых действиях, с последствиями множественных ранений или комбинированной травмы с одновременными нарушениями различных функций организма человека;">
              <w:r>
                <w:rPr>
                  <w:sz w:val="24"/>
                  <w:color w:val="0000ff"/>
                </w:rPr>
                <w:t xml:space="preserve">12.13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9" w:tooltip="ЦРГ 13.2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верхних конечностей;">
              <w:r>
                <w:rPr>
                  <w:sz w:val="24"/>
                  <w:color w:val="0000ff"/>
                </w:rPr>
                <w:t xml:space="preserve">ЦРГ 13.2</w:t>
              </w:r>
            </w:hyperlink>
            <w:r>
              <w:rPr>
                <w:sz w:val="24"/>
              </w:rPr>
              <w:t xml:space="preserve">, </w:t>
            </w:r>
            <w:hyperlink w:history="0" w:anchor="P111" w:tooltip="ЦРГ 13.4 - инвалиды, получившие ранение (травму, контузию, увечье) или заболевание в связи с боевыми действиями, вследствие приобретенного отсутствия (ампутации) обеих нижних конечностей;">
              <w:r>
                <w:rPr>
                  <w:sz w:val="24"/>
                  <w:color w:val="0000ff"/>
                </w:rPr>
                <w:t xml:space="preserve">13.4</w:t>
              </w:r>
            </w:hyperlink>
            <w:r>
              <w:rPr>
                <w:sz w:val="24"/>
              </w:rPr>
              <w:t xml:space="preserve"> - </w:t>
            </w:r>
            <w:hyperlink w:history="0" w:anchor="P113" w:tooltip="ЦРГ 13.6 - инвалиды, получившие травму, ранение, контузию, увечье в связи с боевыми действиями, вследствие спинальной травмы и связанных с ней повреждений спинного мозга;">
              <w:r>
                <w:rPr>
                  <w:sz w:val="24"/>
                  <w:color w:val="0000ff"/>
                </w:rPr>
                <w:t xml:space="preserve">13.6</w:t>
              </w:r>
            </w:hyperlink>
            <w:r>
              <w:rPr>
                <w:sz w:val="24"/>
              </w:rPr>
              <w:t xml:space="preserve">, </w:t>
            </w:r>
            <w:hyperlink w:history="0" w:anchor="P116" w:tooltip="ЦРГ 13.13 - инвалиды, получившие травму, ранение, контузию, увечье в связи с боевыми действиями, вследствие комбинированной травмы или множественных ранений с одновременными нарушениями различных функций организма человека.">
              <w:r>
                <w:rPr>
                  <w:sz w:val="24"/>
                  <w:color w:val="0000ff"/>
                </w:rPr>
                <w:t xml:space="preserve">13.13</w:t>
              </w:r>
            </w:hyperlink>
          </w:p>
        </w:tc>
      </w:tr>
      <w:tr>
        <w:tblPrEx>
          <w:tblBorders>
            <w:insideH w:val="single" w:sz="4"/>
          </w:tblBorders>
        </w:tblPrEx>
        <w:tc>
          <w:tcPr>
            <w:tcW w:w="1003" w:type="dxa"/>
            <w:vAlign w:val="center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5046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Методики обучения пользованию ПОИ:</w:t>
            </w:r>
          </w:p>
        </w:tc>
        <w:tc>
          <w:tcPr>
            <w:tcW w:w="3005" w:type="dxa"/>
            <w:tcBorders>
              <w:top w:val="single" w:sz="4"/>
              <w:bottom w:val="nil"/>
            </w:tcBorders>
            <w:vMerge w:val="restart"/>
          </w:tcPr>
          <w:p>
            <w:pPr>
              <w:pStyle w:val="0"/>
            </w:pPr>
            <w:hyperlink w:history="0" w:anchor="P99" w:tooltip="ЦРГ 12 - инвалиды, получившие ранение (травму, контузию, увечье) или заболевание в связи с участием в боевых действиях;">
              <w:r>
                <w:rPr>
                  <w:sz w:val="24"/>
                  <w:color w:val="0000ff"/>
                </w:rPr>
                <w:t xml:space="preserve">ЦРГ 12</w:t>
              </w:r>
            </w:hyperlink>
            <w:r>
              <w:rPr>
                <w:sz w:val="24"/>
              </w:rPr>
              <w:t xml:space="preserve">;</w:t>
            </w:r>
          </w:p>
          <w:p>
            <w:pPr>
              <w:pStyle w:val="0"/>
            </w:pPr>
            <w:hyperlink w:history="0" w:anchor="P108" w:tooltip="ЦРГ 13 - инвалиды, получившие травму, ранение, контузию, увечье в связи с боевыми действиями;">
              <w:r>
                <w:rPr>
                  <w:sz w:val="24"/>
                  <w:color w:val="0000ff"/>
                </w:rPr>
                <w:t xml:space="preserve">ЦРГ 13</w:t>
              </w:r>
            </w:hyperlink>
          </w:p>
        </w:tc>
      </w:tr>
      <w:tr>
        <w:tc>
          <w:tcPr>
            <w:tcW w:w="1003" w:type="dxa"/>
            <w:tcBorders>
              <w:top w:val="single" w:sz="4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5.1</w:t>
            </w:r>
          </w:p>
        </w:tc>
        <w:tc>
          <w:tcPr>
            <w:tcW w:w="5046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обучение пользованию ортезами верхних и (или) нижних конечностей;</w:t>
            </w:r>
          </w:p>
        </w:tc>
        <w:tc>
          <w:tcPr>
            <w:tcBorders>
              <w:top w:val="single" w:sz="4"/>
              <w:bottom w:val="nil"/>
            </w:tcBorders>
            <w:vMerge w:val="continue"/>
          </w:tcPr>
          <w:p/>
        </w:tc>
      </w:tr>
      <w:tr>
        <w:tc>
          <w:tcPr>
            <w:tcW w:w="1003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5.2</w:t>
            </w:r>
          </w:p>
        </w:tc>
        <w:tc>
          <w:tcPr>
            <w:tcW w:w="50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обучение и коррекция ходьбы в ортезах;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03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5.3</w:t>
            </w:r>
          </w:p>
        </w:tc>
        <w:tc>
          <w:tcPr>
            <w:tcW w:w="50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обучение пользованию ортопедическими аппаратами на верхние и (или) нижние конечности;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03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5.4</w:t>
            </w:r>
          </w:p>
        </w:tc>
        <w:tc>
          <w:tcPr>
            <w:tcW w:w="50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обучение пользованию корсетами;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03" w:type="dxa"/>
            <w:tcBorders>
              <w:top w:val="nil"/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5.5</w:t>
            </w:r>
          </w:p>
        </w:tc>
        <w:tc>
          <w:tcPr>
            <w:tcW w:w="5046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обучение пользованию сложной ортопедической обувью;</w:t>
            </w:r>
          </w:p>
        </w:tc>
        <w:tc>
          <w:tcPr>
            <w:tcW w:w="3005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003" w:type="dxa"/>
            <w:tcBorders>
              <w:top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5.6</w:t>
            </w:r>
          </w:p>
        </w:tc>
        <w:tc>
          <w:tcPr>
            <w:tcW w:w="5046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обучение пользованию специальной одежды для инвалидов</w:t>
            </w:r>
          </w:p>
        </w:tc>
        <w:tc>
          <w:tcPr>
            <w:tcW w:w="3005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Пособия для специалистов по протезированию инвалидов: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Реабилитация инвалидов: национальное руководство/под редакцией Г.Н. Пономаренко. - М.: ГЭОТАР-Медиа, 2018. - 736 с.: ил. (Серия "Национальные руководства").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Реабилитация инвалидов: национальное руководство. - М.: ГЭОТАР-Медиа, 2020. - 544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Физическая и реабилитационная медицина: национальное руководство/под редакцией Г.Н. Пономаренко. - М.: ГЭОТАР-Медиа, 2024. - 912 с.: ил. (Серия "Национальные руководства").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Физические методы лечения: справочник/под редакцией Пономаренко Г.Н - СПб, 2024. - 294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Боевая травма: медико-социальная реабилитация: практическое руководство/под. ред. Г.Н. Пономаренко. - Москва: ГЭОТАР-Медиа, 2023. - 304 с.: ил. - DOI: 10.33029/9704-7919-3-ВТМ-2023-1-304.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Методические рекомендации по установлению медицинских показаний и противопоказаний при назначении специалистами медико-социальной экспертизы технических средств реабилитации инвалида и методика их рационального подбора. Издание третье переработанное и дополненное/под редакцией О.С. Андреевой. - М.: Минтруда России, 2018. - 716 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Учебное пособие "Сложная ортопедическая обувь с индивидуальными параметрами изготовления". - Санкт-Петербург: ООО "ЦИАЦАН", 2024. - 101 с. - ISBN 978-5-6046285-5-3. - EDN OQFVRP.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Типовая технология "Сложная ортопедическая обувь с индивидуальными параметрами изготовления" с применением цифровых методов проектирования - Санкт-Петербург: ООО "ЦИАЦАН", 2024. - 168 с. - ISBN 978-5-605-29240-1. - EDN CLEHNY.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Корсет типа Шено. Технология изготовления гипсового слепка: учебное пособие/К.К. Щербина, А.О. Андриевская, Г.Н. Зарезина. В.Ф. Николаев [и др.]; под ред. проф. Г.Н. Пономаренко. ФГБУ ФНОЦ МСЭ и Р им. Г.А. Альбрехта Минтруда России - Санкт-Петербург: ООО "ЦИАЦАН", 2024. - 35 с.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X. Показатели качества и оценка результатов</w:t>
      </w:r>
    </w:p>
    <w:p>
      <w:pPr>
        <w:pStyle w:val="2"/>
        <w:jc w:val="center"/>
      </w:pPr>
      <w:r>
        <w:rPr>
          <w:sz w:val="24"/>
        </w:rPr>
        <w:t xml:space="preserve">реализации услуги, предусмотренной стандартом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both"/>
      </w:pPr>
      <w:r>
        <w:rPr>
          <w:sz w:val="24"/>
        </w:rPr>
        <w:t xml:space="preserve">25. Результат реализации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реализованы в полном объеме (оказано запанированное количество мероприятий);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реализованы частично (не все запланированные мероприятия реализованы);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мероприятия, входящие в состав услуги, не реализованы.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both"/>
      </w:pPr>
      <w:r>
        <w:rPr>
          <w:sz w:val="24"/>
        </w:rPr>
        <w:t xml:space="preserve">26. Показатели качества и оценка результатов реализации услуги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Достижение реабилитационного эффекта: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достигнут (по результатам оценки эффективности имеется положительная динамика, конкретные цели реабилитации достигнуты);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достигнут частично (имеется незначительная динамика, все поставленные цели реабилитации не достигнуты);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реабилитационный эффект не достигнут (динамика отсутствует, цели не достигнуты).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27. Оценку результатов реализации услуги выполняют путем определения соответствия исполнения ортеза требованиям технической документации, его соответствия функциональному (медицинскому), социальному (условия эксплуатации и потребности) назначению, а также моральному удовлетворению инвалида качеством оказания услуги по </w:t>
      </w:r>
      <w:hyperlink w:history="0" r:id="rId59" w:tooltip="&quot;ГОСТ Р 71819-2024. Национальный стандарт Российской Федерации. Протезирование и ортезирование. Методы оценки результативности ортезирования верхних, нижних конечностей и позвоночника&quot; (утв. и введен в действие Приказом Росстандарта от 26.11.2024 N 1764-ст) {КонсультантПлюс}">
        <w:r>
          <w:rPr>
            <w:sz w:val="24"/>
            <w:color w:val="0000ff"/>
          </w:rPr>
          <w:t xml:space="preserve">ГОСТ Р 71819-2024</w:t>
        </w:r>
      </w:hyperlink>
      <w:r>
        <w:rPr>
          <w:sz w:val="24"/>
        </w:rPr>
        <w:t xml:space="preserve"> "Национальный стандарт Российской Федерации. Протезирование и ортезирование. Методы оценки результативности ортезирования верхних, нижних конечностей и позвоночника" введенного в действие </w:t>
      </w:r>
      <w:hyperlink w:history="0" r:id="rId60" w:tooltip="Приказ Росстандарта от 26.11.2024 N 1764-ст &quot;Об утверждении национального стандарта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Федерального агентства по техническому регулированию и метрологии от 26 ноября 2024 г. N 1764-ст (М.: Российский институт стандартизации, 2024).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18.06.2025 N 380н</w:t>
            <w:br/>
            <w:t>"Об утверждении Стандарта оказания услуги по ортезированию инвалидов, получи...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18.06.2025 N 380н</w:t>
            <w:br/>
            <w:t>"Об утверждении Стандарта оказания услуги по ортезированию инвалидов, получи...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3022&amp;date=11.07.2025&amp;dst=471&amp;field=134&amp;demo=2" TargetMode = "External"/>
	<Relationship Id="rId8" Type="http://schemas.openxmlformats.org/officeDocument/2006/relationships/hyperlink" Target="https://login.consultant.ru/link/?req=doc&amp;base=LAW&amp;n=483022&amp;date=11.07.2025&amp;dst=503&amp;field=134&amp;demo=2" TargetMode = "External"/>
	<Relationship Id="rId9" Type="http://schemas.openxmlformats.org/officeDocument/2006/relationships/hyperlink" Target="https://login.consultant.ru/link/?req=doc&amp;base=LAW&amp;n=465514&amp;date=11.07.2025&amp;demo=2" TargetMode = "External"/>
	<Relationship Id="rId10" Type="http://schemas.openxmlformats.org/officeDocument/2006/relationships/hyperlink" Target="https://login.consultant.ru/link/?req=doc&amp;base=LAW&amp;n=495712&amp;date=11.07.2025&amp;dst=100440&amp;field=134&amp;demo=2" TargetMode = "External"/>
	<Relationship Id="rId11" Type="http://schemas.openxmlformats.org/officeDocument/2006/relationships/hyperlink" Target="https://login.consultant.ru/link/?req=doc&amp;base=LAW&amp;n=489991&amp;date=11.07.2025&amp;demo=2" TargetMode = "External"/>
	<Relationship Id="rId12" Type="http://schemas.openxmlformats.org/officeDocument/2006/relationships/hyperlink" Target="https://login.consultant.ru/link/?req=doc&amp;base=LAW&amp;n=500417&amp;date=11.07.2025&amp;dst=100011&amp;field=134&amp;demo=2" TargetMode = "External"/>
	<Relationship Id="rId13" Type="http://schemas.openxmlformats.org/officeDocument/2006/relationships/hyperlink" Target="https://login.consultant.ru/link/?req=doc&amp;base=LAW&amp;n=481937&amp;date=11.07.2025&amp;dst=100041&amp;field=134&amp;demo=2" TargetMode = "External"/>
	<Relationship Id="rId14" Type="http://schemas.openxmlformats.org/officeDocument/2006/relationships/hyperlink" Target="https://login.consultant.ru/link/?req=doc&amp;base=LAW&amp;n=358709&amp;date=11.07.2025&amp;dst=100010&amp;field=134&amp;demo=2" TargetMode = "External"/>
	<Relationship Id="rId15" Type="http://schemas.openxmlformats.org/officeDocument/2006/relationships/hyperlink" Target="https://login.consultant.ru/link/?req=doc&amp;base=LAW&amp;n=358710&amp;date=11.07.2025&amp;demo=2" TargetMode = "External"/>
	<Relationship Id="rId16" Type="http://schemas.openxmlformats.org/officeDocument/2006/relationships/hyperlink" Target="https://login.consultant.ru/link/?req=doc&amp;base=LAW&amp;n=141047&amp;date=11.07.2025&amp;demo=2" TargetMode = "External"/>
	<Relationship Id="rId17" Type="http://schemas.openxmlformats.org/officeDocument/2006/relationships/hyperlink" Target="https://login.consultant.ru/link/?req=doc&amp;base=LAW&amp;n=502861&amp;date=11.07.2025&amp;demo=2" TargetMode = "External"/>
	<Relationship Id="rId18" Type="http://schemas.openxmlformats.org/officeDocument/2006/relationships/hyperlink" Target="https://login.consultant.ru/link/?req=doc&amp;base=LAW&amp;n=359764&amp;date=11.07.2025&amp;demo=2" TargetMode = "External"/>
	<Relationship Id="rId19" Type="http://schemas.openxmlformats.org/officeDocument/2006/relationships/hyperlink" Target="https://login.consultant.ru/link/?req=doc&amp;base=LAW&amp;n=195259&amp;date=11.07.2025&amp;demo=2" TargetMode = "External"/>
	<Relationship Id="rId20" Type="http://schemas.openxmlformats.org/officeDocument/2006/relationships/hyperlink" Target="https://login.consultant.ru/link/?req=doc&amp;base=LAW&amp;n=483328&amp;date=11.07.2025&amp;dst=100015&amp;field=134&amp;demo=2" TargetMode = "External"/>
	<Relationship Id="rId21" Type="http://schemas.openxmlformats.org/officeDocument/2006/relationships/hyperlink" Target="https://login.consultant.ru/link/?req=doc&amp;base=LAW&amp;n=307256&amp;date=11.07.2025&amp;demo=2" TargetMode = "External"/>
	<Relationship Id="rId22" Type="http://schemas.openxmlformats.org/officeDocument/2006/relationships/hyperlink" Target="https://login.consultant.ru/link/?req=doc&amp;base=LAW&amp;n=381815&amp;date=11.07.2025&amp;dst=100009&amp;field=134&amp;demo=2" TargetMode = "External"/>
	<Relationship Id="rId23" Type="http://schemas.openxmlformats.org/officeDocument/2006/relationships/hyperlink" Target="https://login.consultant.ru/link/?req=doc&amp;base=LAW&amp;n=433852&amp;date=11.07.2025&amp;dst=100011&amp;field=134&amp;demo=2" TargetMode = "External"/>
	<Relationship Id="rId24" Type="http://schemas.openxmlformats.org/officeDocument/2006/relationships/hyperlink" Target="https://login.consultant.ru/link/?req=doc&amp;base=LAW&amp;n=505406&amp;date=11.07.2025&amp;demo=2" TargetMode = "External"/>
	<Relationship Id="rId25" Type="http://schemas.openxmlformats.org/officeDocument/2006/relationships/hyperlink" Target="https://login.consultant.ru/link/?req=doc&amp;base=LAW&amp;n=431245&amp;date=11.07.2025&amp;demo=2" TargetMode = "External"/>
	<Relationship Id="rId26" Type="http://schemas.openxmlformats.org/officeDocument/2006/relationships/hyperlink" Target="https://login.consultant.ru/link/?req=doc&amp;base=LAW&amp;n=449248&amp;date=11.07.2025&amp;demo=2" TargetMode = "External"/>
	<Relationship Id="rId27" Type="http://schemas.openxmlformats.org/officeDocument/2006/relationships/hyperlink" Target="https://login.consultant.ru/link/?req=doc&amp;base=LAW&amp;n=465385&amp;date=11.07.2025&amp;demo=2" TargetMode = "External"/>
	<Relationship Id="rId28" Type="http://schemas.openxmlformats.org/officeDocument/2006/relationships/hyperlink" Target="https://login.consultant.ru/link/?req=doc&amp;base=LAW&amp;n=472970&amp;date=11.07.2025&amp;demo=2" TargetMode = "External"/>
	<Relationship Id="rId29" Type="http://schemas.openxmlformats.org/officeDocument/2006/relationships/hyperlink" Target="https://login.consultant.ru/link/?req=doc&amp;base=LAW&amp;n=484371&amp;date=11.07.2025&amp;demo=2" TargetMode = "External"/>
	<Relationship Id="rId30" Type="http://schemas.openxmlformats.org/officeDocument/2006/relationships/hyperlink" Target="https://login.consultant.ru/link/?req=doc&amp;base=LAW&amp;n=485076&amp;date=11.07.2025&amp;dst=100025&amp;field=134&amp;demo=2" TargetMode = "External"/>
	<Relationship Id="rId31" Type="http://schemas.openxmlformats.org/officeDocument/2006/relationships/hyperlink" Target="https://login.consultant.ru/link/?req=doc&amp;base=LAW&amp;n=497933&amp;date=11.07.2025&amp;dst=100089&amp;field=134&amp;demo=2" TargetMode = "External"/>
	<Relationship Id="rId32" Type="http://schemas.openxmlformats.org/officeDocument/2006/relationships/hyperlink" Target="https://login.consultant.ru/link/?req=doc&amp;base=LAW&amp;n=505404&amp;date=11.07.2025&amp;demo=2" TargetMode = "External"/>
	<Relationship Id="rId33" Type="http://schemas.openxmlformats.org/officeDocument/2006/relationships/hyperlink" Target="https://login.consultant.ru/link/?req=doc&amp;base=LAW&amp;n=483022&amp;date=11.07.2025&amp;dst=476&amp;field=134&amp;demo=2" TargetMode = "External"/>
	<Relationship Id="rId34" Type="http://schemas.openxmlformats.org/officeDocument/2006/relationships/hyperlink" Target="https://login.consultant.ru/link/?req=doc&amp;base=LAW&amp;n=495712&amp;date=11.07.2025&amp;dst=100355&amp;field=134&amp;demo=2" TargetMode = "External"/>
	<Relationship Id="rId35" Type="http://schemas.openxmlformats.org/officeDocument/2006/relationships/hyperlink" Target="https://login.consultant.ru/link/?req=doc&amp;base=LAW&amp;n=483022&amp;date=11.07.2025&amp;dst=462&amp;field=134&amp;demo=2" TargetMode = "External"/>
	<Relationship Id="rId36" Type="http://schemas.openxmlformats.org/officeDocument/2006/relationships/hyperlink" Target="https://login.consultant.ru/link/?req=doc&amp;base=LAW&amp;n=440938&amp;date=11.07.2025&amp;demo=2" TargetMode = "External"/>
	<Relationship Id="rId37" Type="http://schemas.openxmlformats.org/officeDocument/2006/relationships/hyperlink" Target="https://login.consultant.ru/link/?req=doc&amp;base=LAW&amp;n=480812&amp;date=11.07.2025&amp;dst=100018&amp;field=134&amp;demo=2" TargetMode = "External"/>
	<Relationship Id="rId38" Type="http://schemas.openxmlformats.org/officeDocument/2006/relationships/hyperlink" Target="https://login.consultant.ru/link/?req=doc&amp;base=LAW&amp;n=307256&amp;date=11.07.2025&amp;demo=2" TargetMode = "External"/>
	<Relationship Id="rId39" Type="http://schemas.openxmlformats.org/officeDocument/2006/relationships/hyperlink" Target="https://login.consultant.ru/link/?req=doc&amp;base=LAW&amp;n=483022&amp;date=11.07.2025&amp;dst=253&amp;field=134&amp;demo=2" TargetMode = "External"/>
	<Relationship Id="rId40" Type="http://schemas.openxmlformats.org/officeDocument/2006/relationships/hyperlink" Target="https://login.consultant.ru/link/?req=doc&amp;base=LAW&amp;n=78502&amp;date=11.07.2025&amp;dst=100012&amp;field=134&amp;demo=2" TargetMode = "External"/>
	<Relationship Id="rId41" Type="http://schemas.openxmlformats.org/officeDocument/2006/relationships/hyperlink" Target="https://login.consultant.ru/link/?req=doc&amp;base=LAW&amp;n=300592&amp;date=11.07.2025&amp;dst=100009&amp;field=134&amp;demo=2" TargetMode = "External"/>
	<Relationship Id="rId42" Type="http://schemas.openxmlformats.org/officeDocument/2006/relationships/hyperlink" Target="https://login.consultant.ru/link/?req=doc&amp;base=LAW&amp;n=135996&amp;date=11.07.2025&amp;dst=100008&amp;field=134&amp;demo=2" TargetMode = "External"/>
	<Relationship Id="rId43" Type="http://schemas.openxmlformats.org/officeDocument/2006/relationships/hyperlink" Target="https://login.consultant.ru/link/?req=doc&amp;base=LAW&amp;n=465385&amp;date=11.07.2025&amp;demo=2" TargetMode = "External"/>
	<Relationship Id="rId44" Type="http://schemas.openxmlformats.org/officeDocument/2006/relationships/header" Target="header2.xml"/>
	<Relationship Id="rId45" Type="http://schemas.openxmlformats.org/officeDocument/2006/relationships/footer" Target="footer2.xml"/>
	<Relationship Id="rId46" Type="http://schemas.openxmlformats.org/officeDocument/2006/relationships/hyperlink" Target="https://login.consultant.ru/link/?req=doc&amp;base=OTN&amp;n=26841&amp;date=11.07.2025&amp;dst=102206&amp;field=134&amp;demo=2" TargetMode = "External"/>
	<Relationship Id="rId47" Type="http://schemas.openxmlformats.org/officeDocument/2006/relationships/hyperlink" Target="https://login.consultant.ru/link/?req=doc&amp;base=OTN&amp;n=26841&amp;date=11.07.2025&amp;dst=101983&amp;field=134&amp;demo=2" TargetMode = "External"/>
	<Relationship Id="rId48" Type="http://schemas.openxmlformats.org/officeDocument/2006/relationships/hyperlink" Target="https://login.consultant.ru/link/?req=doc&amp;base=OTN&amp;n=26841&amp;date=11.07.2025&amp;dst=101959&amp;field=134&amp;demo=2" TargetMode = "External"/>
	<Relationship Id="rId49" Type="http://schemas.openxmlformats.org/officeDocument/2006/relationships/hyperlink" Target="https://login.consultant.ru/link/?req=doc&amp;base=OTN&amp;n=26841&amp;date=11.07.2025&amp;dst=101959&amp;field=134&amp;demo=2" TargetMode = "External"/>
	<Relationship Id="rId50" Type="http://schemas.openxmlformats.org/officeDocument/2006/relationships/hyperlink" Target="https://login.consultant.ru/link/?req=doc&amp;base=OTN&amp;n=26841&amp;date=11.07.2025&amp;dst=101951&amp;field=134&amp;demo=2" TargetMode = "External"/>
	<Relationship Id="rId51" Type="http://schemas.openxmlformats.org/officeDocument/2006/relationships/hyperlink" Target="https://login.consultant.ru/link/?req=doc&amp;base=OTN&amp;n=26841&amp;date=11.07.2025&amp;dst=101983&amp;field=134&amp;demo=2" TargetMode = "External"/>
	<Relationship Id="rId52" Type="http://schemas.openxmlformats.org/officeDocument/2006/relationships/hyperlink" Target="https://login.consultant.ru/link/?req=doc&amp;base=OTN&amp;n=26841&amp;date=11.07.2025&amp;dst=101959&amp;field=134&amp;demo=2" TargetMode = "External"/>
	<Relationship Id="rId53" Type="http://schemas.openxmlformats.org/officeDocument/2006/relationships/hyperlink" Target="https://login.consultant.ru/link/?req=doc&amp;base=OTN&amp;n=26841&amp;date=11.07.2025&amp;dst=101959&amp;field=134&amp;demo=2" TargetMode = "External"/>
	<Relationship Id="rId54" Type="http://schemas.openxmlformats.org/officeDocument/2006/relationships/hyperlink" Target="https://login.consultant.ru/link/?req=doc&amp;base=OTN&amp;n=32711&amp;date=11.07.2025&amp;demo=2" TargetMode = "External"/>
	<Relationship Id="rId55" Type="http://schemas.openxmlformats.org/officeDocument/2006/relationships/hyperlink" Target="https://login.consultant.ru/link/?req=doc&amp;base=LAW&amp;n=403017&amp;date=11.07.2025&amp;demo=2" TargetMode = "External"/>
	<Relationship Id="rId56" Type="http://schemas.openxmlformats.org/officeDocument/2006/relationships/hyperlink" Target="https://login.consultant.ru/link/?req=doc&amp;base=OTN&amp;n=26841&amp;date=11.07.2025&amp;demo=2" TargetMode = "External"/>
	<Relationship Id="rId57" Type="http://schemas.openxmlformats.org/officeDocument/2006/relationships/hyperlink" Target="https://login.consultant.ru/link/?req=doc&amp;base=LAW&amp;n=334930&amp;date=11.07.2025&amp;demo=2" TargetMode = "External"/>
	<Relationship Id="rId58" Type="http://schemas.openxmlformats.org/officeDocument/2006/relationships/hyperlink" Target="https://login.consultant.ru/link/?req=doc&amp;base=LAW&amp;n=359764&amp;date=11.07.2025&amp;demo=2" TargetMode = "External"/>
	<Relationship Id="rId59" Type="http://schemas.openxmlformats.org/officeDocument/2006/relationships/hyperlink" Target="https://login.consultant.ru/link/?req=doc&amp;base=OTN&amp;n=43270&amp;date=11.07.2025&amp;demo=2" TargetMode = "External"/>
	<Relationship Id="rId60" Type="http://schemas.openxmlformats.org/officeDocument/2006/relationships/hyperlink" Target="https://login.consultant.ru/link/?req=doc&amp;base=LAW&amp;n=492166&amp;date=11.07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18.06.2025 N 380н
"Об утверждении Стандарта оказания услуги по ортезированию инвалидов, получивших травму, ранение, контузию, увечье в связи с боевыми действиями"
(Зарегистрировано в Минюсте России 07.07.2025 N 82825)</dc:title>
  <dcterms:created xsi:type="dcterms:W3CDTF">2025-07-11T13:51:45Z</dcterms:created>
</cp:coreProperties>
</file>