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06.06.2025 N 366н</w:t>
              <w:br/>
              <w:t xml:space="preserve">"Об утверждении Стандарта оказания услуги по протезированию инвалидов, получивших травму, ранение, контузию, увечье в связи с боевыми действиями"</w:t>
              <w:br/>
              <w:t xml:space="preserve">(Зарегистрировано в Минюсте России 10.07.2025 N 82875)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14.07.2025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июля 2025 г. N 82875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июня 2025 г. N 366н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ПРОТЕЗИРОВАНИЮ ИНВАЛИДОВ, ПОЛУЧИВШИХ</w:t>
      </w:r>
    </w:p>
    <w:p>
      <w:pPr>
        <w:pStyle w:val="2"/>
        <w:jc w:val="center"/>
      </w:pPr>
      <w:r>
        <w:rPr>
          <w:sz w:val="24"/>
        </w:rPr>
        <w:t xml:space="preserve">ТРАВМУ, РАНЕНИЕ, КОНТУЗИЮ, УВЕЧЬЕ В СВЯЗИ</w:t>
      </w:r>
    </w:p>
    <w:p>
      <w:pPr>
        <w:pStyle w:val="2"/>
        <w:jc w:val="center"/>
      </w:pPr>
      <w:r>
        <w:rPr>
          <w:sz w:val="24"/>
        </w:rPr>
        <w:t xml:space="preserve">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0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протезированию инвалидов, получивших травму, ранение, контузию, увечье в связи с боевыми действиями.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июня 2025 г. N 366н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УСЛУГИ ПО ПРОТЕЗИРОВАНИЮ ИНВАЛИДОВ, ПОЛУЧИВШИХ</w:t>
      </w:r>
    </w:p>
    <w:p>
      <w:pPr>
        <w:pStyle w:val="2"/>
        <w:jc w:val="center"/>
      </w:pPr>
      <w:r>
        <w:rPr>
          <w:sz w:val="24"/>
        </w:rPr>
        <w:t xml:space="preserve">ТРАВМУ, РАНЕНИЕ, КОНТУЗИЮ, УВЕЧЬЕ В СВЯЗИ</w:t>
      </w:r>
    </w:p>
    <w:p>
      <w:pPr>
        <w:pStyle w:val="2"/>
        <w:jc w:val="center"/>
      </w:pPr>
      <w:r>
        <w:rPr>
          <w:sz w:val="24"/>
        </w:rPr>
        <w:t xml:space="preserve">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протезированию инвалидов, получивших травму, ранение, контузию, увечье в связи с боевыми действиями (далее соответственно - стандарт, услуга, инвалид)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12 ноября 2012 г. N 901н "Об утверждении Порядка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15.11.2012 N 922н (ред. от 21.02.2020) &quot;Об утверждении Порядка оказания медицинской помощи взрослому населению по профилю &quot;хирургия&quot; (Зарегистрировано в Минюсте России 17.04.2013 N 281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922н "Об утверждении Порядка оказания медицинской помощи взрослому населению по профилю "хирургия" (зарегистрирован Министерством юстиции Российской Федерации 17 апреля 2013 г., регистрационный N 28161) с изменениями, внесенными приказом Министерства здравоохранения Российской Федерации от 21 февраля 2020 г. N 114н (зарегистрирован в Министерстве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года N 923н "Об утверждении Порядка оказания медицинской помощи взрослому населению по профилю "терапия" (зарегистрирован в Министерстве юстиции Российской Федерации 29 декабря 2012 г., регистрационный N 26482);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24852),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в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зарегистрирован Министерством юстиции Российской Федерации 8 апреля 2021 г., регистрационный N 63023), от 4 октября 2021 г. N 670н зарегистрирован Министерством юстиции Российской Федерации 11 января 2022 г., регистрационный N 66805), от 6 мая 2022 г. N 288н зарегистрирован Министерством юстиции Российской Федерации 10 июня 2022 г., регистрационный N 68821), от 22 июня 2022 г. N 371н зарегистрирован Министерством юстиции Российской Федерации 10 ноября 2022 г., регистрационный N 70915), от 1 февраля 2023 г. N 56н зарегистрирован Министерством юстиции Российской Федерации 9 марта 2023 г., регистрационный N 72556), от 10 июля 2024 г. N 346н 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2018 г. регистрационный N 52162);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труда России от 29.04.2020 N 227н &quot;О внесении изменений в перечень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здрава России от 31.07.2020 N 788н (ред. от 07.11.2022) &quot;Об утверждении Порядка организации медицинской реабилитации взрослых&quot; (Зарегистрировано в Минюсте России 25.09.2020 N 6003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31 июля 2020 г. N 788н "Об утверждении Порядка организации медицинской реабилитации взрослых" (зарегистрирован Министерством юстиции Российской Федерации 25 сентября 2020 г., регистрационный N 60039) с изменениями, внесенными приказом Министерства здравоохранения Российской Федерации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7 ноября 2022 г. N 727н (зарегистрирован Министерством юстиции Российской Федерации 9 декабря 2022 г., регистрационный N 71434);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63022),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здрава России от 14.10.2022 N 668н &quot;Об утверждении Порядка оказания медицинской помощи при психических расстройствах и расстройствах поведения&quot; (Зарегистрировано в Минюсте России 14.11.2022 N 70940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14 октября 2022 г. N 668н "Об утверждении Порядка оказания медицинской помощи при психических расстройствах и расстройствах поведения" (зарегистрирован Министерством юстиции Российской Федерации 14 ноября 2022 г., регистрационный N 70940);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труда России от 28.04.2023 N 429н &quot;Об утверждении требований к социальным координаторам, включая требования к их подготовке, и правила их деятельности&quot; (Зарегистрировано в Минюсте России 09.06.2023 N 7379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28 апреля 2023 г. N 429н "Об утверждении требований к социальным координаторам, включая требования к их подготовке, и правила их деятельности" (зарегистрирован Министерством юстиции Российской Федерации 9 июня 2023 г., регистрационный N 73795);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8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77616);</w:t>
      </w:r>
    </w:p>
    <w:p>
      <w:pPr>
        <w:pStyle w:val="0"/>
        <w:spacing w:before="240" w:line-rule="auto"/>
        <w:ind w:firstLine="540"/>
        <w:jc w:val="both"/>
      </w:pPr>
      <w:hyperlink w:history="0" r:id="rId29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30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31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3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81522),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Стандарт распространяется на поставщиков услуг по протезированию, предоставляющих услугу по протезированию инвалидов, получивших травму, ранение, контузию, увечье в связи с боевыми действиями, в рамках реализации мероприятий по основному направлению комплексной реабилитации и абилитации "Протезно-ортопедическая помощь инвалидам" (протезирование).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инвалидов - комплекс мероприятий и услуг, направленных на возможно более полную компенсацию ограничений жизнедеятельности инвалидов путем замены утраченных или необратимо поврежденных сегментов конечностей, головы и (или) туловища протезами, включая глазные протезы, реабилитационные мероприятия и услуги по отдельным основным направлениям реабилитации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протезирование и ортезирование),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 организации, оказывающей услуги по протезированию, организованная на функциональной основе и объединяющая специалистов медицинского и немедицинского профиля, входящих в состав обязательных специалистов настоящего стандарта, с возможностью привлечения рекомендуемых специалистов для оказания инвалиду реабилитационных (абилитационных) услуг по протезированию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услугу, и наличие которых у поставщиков услуги по протезированию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ОДА - опорно-двигательный аппарат;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первичное протезирование (нижней конечности) - протезирование инвалида впервые после ампутации конечности, проводимое с целью подготовки (формирования) культи к нагрузкам, а также приобретения навыков ходьбы (обучения) с использованием постоянного протеза с заменой приемной гильзы по мере изменения размеров культи;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первичное протезирование (верхней конечности) - протезирование инвалида впервые после ампутации верхней конечности, проводимое с целью подготовки (формирования) культи, а также приобретения навыков самообслуживания (обучения) с использованием протеза с заменой приемной гильзы по мере изменения размеров культи;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ПОИ - протезно-ортопедическое изделие;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постоянное (повторное) протезирование - протезирование инвалида со сформированной культей конечности с использованием постоянного протеза;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(протезирование);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протезированию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приемная гильза - узел или элемент протеза конечности, изготовленный по индивидуальным параметрам инвалида, предназначенный для размещения в нем культи или пораженной конечности и обеспечивающий взаимодействие человека с протезом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 конечности - техническое средство реабилитации, заменяющее частично или полностью отсутствующую конечность и служащее для восполнения косметического и (или) функционального дефектов;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верхней (верхних) конечности (конечностей) - услуга, заключающаяся в проведении комплекса медицинских, технических и организационных мероприятий, направленных на восстановление функциональных возможностей инвалида, осуществляемая с использованием замены утраченной (утраченных) верхней (верхних) конечности (конечностей) протезом (протезами), с максимальным сохранением индивидуальных особенностей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протезирование нижней (нижних) конечности (конечностей) - услуга, заключающаяся в проведении комплекса медицинских, технических и организационных мероприятий, направленных на восстановление способности к передвижению и других функциональных возможностей инвалида, осуществляемая посредством замены утраченной (утраченных) нижней (нижних) конечности (конечностей) протезом (протезами), с максимальным сохранением индивидуальных особенностей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это устройства (технические средства реабилитации, вспомогательные средства, в том числе приборы, аппаратура, приспособления), используемые при выполнении действий при оказании услуги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протезирования верхней конечности - степень восполнения утраченных мануальных функций и компенсации косметического дефекта инвалида с ампутацией верхней конечности, обеспечивающей расширение социально-бытовой деятельности, формирование или восстановление способности к самообслуживанию), обеспечивающая интеграцию его в общество (возвращение к бытовой, трудовой, общественной жизни);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протезирования нижней конечности - степень восполнения утраченных опорно-двигательных функций инвалида с ампутацией нижней(их) конечности(ей), обеспечивающая интеграцию его в общество (возвращение к бытовой, трудовой, общественной жизни);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 по протезированию, и способствовать повышению качества предоставления услуги, но их наличие у поставщика услуги по протезированию не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Наименование ЦРГ инвалидов, в отношении которых применяется стандарт: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12 - инвалиды, получившие ранение (травму, контузию, увечье) или заболевание в связи с участием в боевых действиях;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12.1 -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верхней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13 - инвалиды, получившие ранение (травму, контузию, увечье) или заболевание в связи боевыми действиями;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13.1 -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верхней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Форма оказания услуги: стационарная,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Стационарная форма - в условиях круглосуточного пребывания, в том числе с сопровождающим лицом в случае невозможности получения услуги в полустационарной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- пребывание инвалида в определенное время суток в условиях дневного стационара в случае возможности посещения инвалидом поставщика услуги по протезированию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При реализации стандарта, медицинская помощь может оказываться в следующих условиях &lt;2&gt;: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4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амбулаторно (в условиях, не предусматривающих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стационарно (в условиях, обеспечивающих круглосуточное медицинское наблюдение и лечение).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Услуга оказывается инвалидам, имеющим в ИПРА заключение о нуждаемости в проведении мероприятий по протезированию.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Поставщик услуги по протезированию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предоставлении услуги соблюдаются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инвалидов, утверждаемой федеральным органом государственной власти в области социальной защиты инвалидов, &lt;3&gt; и иной документации, включая медицинскую (заказа, учетной и отчетной документации) (далее - документация по протезированию);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5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контроля качества протеза перед выдачей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как изолированно, так и в комплексе с реабилитационными услугами других основных направлений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Содержание, продолжительность и кратность мероприятий, входящих в состав услуги, зависят от вида и степени выраженности нарушений функций ОДА, а также вида ТСР с учетом способа управления протезом и уровня ампутации конечности: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верхней: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пальца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кисти косметический,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предплечья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плеча 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кисти рабочий,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предплечья рабочий;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плеча рабочий;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кисти активный (тяговый),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предплечья активный (тяговый);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плеча активный (тяговый);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кисти с микропроцессорным управлением, в том числе при вычленении и частичном вычленении кисти;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предплечья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плеча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после вычленения плеча с электромеханическим приводом и контактной системой 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после вычленения плеча функционально-косметический;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нижней: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стопы;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голени для купания;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бедра для купания;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голени немодульный,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бедра немодульный,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при вычленении бедра немодульный;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голени 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бедра модульный, в том числе при врожденном недоразвитии;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при вычленении бедра модульный;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бедра модульный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при вычленении бедра модульный с микропроцессорным управлением;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протез голени модульный, в том числе при врожденном недоразвитии, с модулем стопы с микропроцессорным управлением.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Услуга оказывается поставщиком услуг по протезированию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протезированию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6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38897),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помещений, оснащения и оборудования, необходимых для обследования инвалида, подготовки к протезированию (кабинет(ы) врача (ей), кабинет физиотерапии, зал для занятий лечебной физкультурой, кабинет механотерапии, кабинет медицинского психолога), производства (изготовления), подгонки (настройки) протезно-ортопедических изделий, обучения инвалидов безопасному и эффективному пользованию протезно-ортопедическими изделиями (зона функциональной адаптации), предоставления инвалидам протезно-ортопедических изделий, а также ремонта, сервисного обслуживания, соответствующих установленным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специального оснащения поставщика услуги по протезированию (оборудование, приборы, аппаратура, измерительный инструмент, транспорт для выездного сервисного обслуживания, материалы и полуфабрикаты для изготовления ПОИ), применяемого в процессе протезирования;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протезированию специалистами соответствующей квалификации для изготовления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технической документации на все виды изготавливаемых протезов;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маркировки на узлах (модулей) протеза и документов, подтверждающих безопасность для жизни и здоровья инвалида и окружающей среды;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сопровождения инвалида законным (уполномоченным) представителем, социальным координатором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Поставщик услуги по протезированию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организации возможно привлекать на основании гражданско-правового договора,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необходимых для оказания услуги и отвечающих установленным санитарным правилам (</w:t>
      </w:r>
      <w:hyperlink w:history="0" r:id="rId37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СП 2.1.3678-20</w:t>
        </w:r>
      </w:hyperlink>
      <w:r>
        <w:rPr>
          <w:sz w:val="24"/>
        </w:rPr>
        <w:t xml:space="preserve">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 декабря 2020 N 44), соответствие которым подтверждается санитарно-эпидемиологическим заключением.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Поставщик услуги должен обеспечить в соответствии с установленными требованиями &lt;5&gt;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Требования обеспечения доступности установлены </w:t>
      </w:r>
      <w:hyperlink w:history="0" r:id="rId38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в соответствии с требованиями Федерального </w:t>
      </w:r>
      <w:hyperlink w:history="0" r:id="rId3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протезированию (при необходимости и согласии на то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При реализации положений стандарта в части проведения мероприятия по подготовке к протезированию возможно привлечение организации (юридического лица) по договору оказания услуг, имеющей соответствующих специалистов и оборудование, а также имеющей лицензии по соответствующему виду медицинской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Услуга оказывается междисциплинарной командой.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формируется персонифицировано с учетом общей цели реабилитации в соответствии с рекомендациями в ИПРА и конкретной цели протезирования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функции междисциплинарной команды входит: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прогноза инвалида на основе анализа клинико-функциональных, социально-бытовых, профессионально-трудовых и психологических данных, в целях компенсации возможных ограничений жизнедеятельности (способность к самостоятельному передвижению, самообслуживанию, общению, трудовой деятельности), формирование цели и задач услуги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временных противопоказаний к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установление вида, состава и объема мероприятий по подготовке к протезированию, в зависимости от вида протезирования (первичное, повторное), физического и психологического состояния инвалида; необходимости проведения реконструктивной хирургии и медицинской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перечня мероприятий по обучению инвалида безопасному и эффективному пользованию ПОИ (функциональная адаптация);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конструкции протеза, предоставление инвалиду информации о конструкции протеза и его функциях;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документации по 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мероприятий по обучению реабилитационным навыкам для применения их инвалидом в домашних условиях (самостоятельных занятий по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реабилитационной эффективности протезирования (оценка состояния ОДА инвалида, итоги реализации мероприятий по протезированию);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заключения и рекомендации по дальнейшей тактике ведения инвалида (наблюдение, определение необходимости замены узлов протезов по мере изменения параметров культи, досрочной замены протеза, проведения дополнительных курсов проведения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комиссионное оформление и ведение документации по протезированию, включая консультации врачей-специалистов для каждого инвалида, иной документации, включая медицинскую (заказа, учетной и отчетной документации).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может выполнять функции в режиме выездной бригады. Объем работ определяется условиями контракта по протезированию и обеспечению инвалида протезом (протезами).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Требования к профессиональной подготовке и квалификации персонала поставщика услуги по протезированию по профессиям, должностям, специальностям определяются на основании Единого тарифно-квалификационного </w:t>
      </w:r>
      <w:hyperlink w:history="0" r:id="rId40" w:tooltip="Постановление Минтруда РФ от 05.03.2004 N 38 &quot;Об утверждении Единого тарифно-квалификационного справочника работ и профессий рабочих, выпуск 16, раздел &quot;Производство медицинского инструмента, приборов и оборудования&quot; {КонсультантПлюс}">
        <w:r>
          <w:rPr>
            <w:sz w:val="24"/>
            <w:color w:val="0000ff"/>
          </w:rPr>
          <w:t xml:space="preserve">справочника</w:t>
        </w:r>
      </w:hyperlink>
      <w:r>
        <w:rPr>
          <w:sz w:val="24"/>
        </w:rPr>
        <w:t xml:space="preserve"> работ и профессий рабочих, выпуск 16, раздел "Производство медицинского инструмента, приборов и оборудования", утвержденного постановлением Министерства труда и социального развития Российской Федерации от 5 марта 2004 г. N 38 (ЕТКС),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 (ЕКС), Общероссийского </w:t>
      </w:r>
      <w:hyperlink w:history="0" r:id="rId41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 ОК 016-94, введенный в действие постановлением Госстандарта России от 26 декабря 1994 г. N 367, </w:t>
      </w:r>
      <w:hyperlink w:history="0" r:id="rId42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948"/>
        <w:gridCol w:w="1009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100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226" w:tooltip="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00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Врач-травматолог-ортопед/врач-хирург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лечебной физкультуре/инструктор-методист по лечебной физкультуре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Врач-терапевт/врач общей практики/врач-невролог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26" w:name="P226"/>
    <w:bookmarkEnd w:id="2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6"/>
        <w:gridCol w:w="2084"/>
        <w:gridCol w:w="1215"/>
        <w:gridCol w:w="5985"/>
        <w:gridCol w:w="3734"/>
      </w:tblGrid>
      <w:tr>
        <w:tc>
          <w:tcPr>
            <w:tcW w:w="5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08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21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услуги</w:t>
            </w:r>
          </w:p>
        </w:tc>
        <w:tc>
          <w:tcPr>
            <w:gridSpan w:val="2"/>
            <w:tcW w:w="97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9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7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9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7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Врач-терапевт/врач общей практики/врач-невролог;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tcW w:w="12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5985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7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20. Содержание мероприятий, входящих в состав услуги по протезированию верхних конечностей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5"/>
        <w:gridCol w:w="1925"/>
        <w:gridCol w:w="8655"/>
        <w:gridCol w:w="2290"/>
      </w:tblGrid>
      <w:tr>
        <w:tc>
          <w:tcPr>
            <w:tcW w:w="7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86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2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состояния инвалида, анализ ИПРА, медицинской документации (заключений врачей-специалистов при необходимости), проведение антропометрических измерений, исследование толерантности к физической нагрузке;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протезированию. При назначении инвалиду протеза верхней конечности с микропроцессорным управлением (МПУ) показано проведение электромиографии с целью определения биоэлектрической активности мышц с заключением о наличии (идентификации) дифференцированных, достаточных по силе и амплитуде электрических сигналов с групп мышц (мышц-агонистов и мышц-антагонистов) для управляющих протезом с МПУ движений. При недостаточной активности мышц рекомендовать проведение курса электростимуляции). Проведение консервативного лечения культи (при наличии временных противопоказаний к протезированию);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разработка схемы построения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информации о конструкции протеза, его функциональных возможностях и ограничениях, а также планируемом реабилитационном эффекте;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культи средствами лечебной физкультуры (ЛФК) и физиотерапии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Сбор социально-психологического анамнеза посредством беседы, опроса, анкетирования (при необходимости с привлечением законного (уполномоченного) представителя);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первичной (входящей) социально-психологической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индивидуально-личностное психологическое консультирование, направленное на проработку и решение обусловленных болезнью и инвалидностью проблем;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практических занятий (психологическая коррекция);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повторной (контрольной) социально-психологической диагностики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полустационарная, дистанционная с применением информационно-телекоммуникационных технологий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модели приемной гильзы: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 гипсовой технологии: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снятие слепка;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изготовление негатива усеченного сегмента конечности;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изготовление модели (позитива) усеченного сегмента;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 аддитивной технологии: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сканирование усеченного сегмента;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моделирование приемной гильзы, получение электронной цифровой модели.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приемной (тестовой или постоянной) гильзы, в том числе методом 3D печати или иного средства соединения усеченного сегмента с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 первичном протезировании приемной (тестовой или постоянной)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приемной гильзы (тестовой или постоянной);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узлов (модулей) и других составляющих протеза, обеспечивающих заданные характеристики и параметры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протеза, настройка узлов (модулей), в том числе с микропроцессорным управлением;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врачебный контроль (осмотр и оценка состояния культи) в процессе протезирования;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протеза инвалиду для постоянного пользования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протеза,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протеза с учетом особенностей культи и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настройка протеза с МПУ;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протеза по результатам пользования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индивидуального режима пользования протезом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инвалида пользованию протезом, функциональная адаптация: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формирование стереотипа движений, освоение различных видов схватов для манипулирования предметами;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формирование навыков самообслуживания для выполнения необходимых бытовых и рабочих действий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приемной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протеза и его ремонт в период действия гарантийного срока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Динамическое наблюдение (регулярный сбор обратной связи с периодичностью раз в три месяца в первый год обслуживания и раз в полгода в последующие годы использования);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дистанционное с применением информационно-телекоммуникационных технологий по вопросам реабилитации и абилитации, пользования протезом, сервисного обслуживания протеза, в том числе с применением мобильного приложения или интернет-платформы (при наличии технической возможности), удаленная настройка протеза со специалистом сервисного обслуживания (при наличии технической возможности), онлайн, сбор и анализ информации о формате пользования протезом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дистанционная с применением информационно-телекоммуникационных технологий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21. Содержание мероприятий, входящих в состав услуги по протезированию нижних конечностей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5"/>
        <w:gridCol w:w="1925"/>
        <w:gridCol w:w="8655"/>
        <w:gridCol w:w="2290"/>
      </w:tblGrid>
      <w:tr>
        <w:tc>
          <w:tcPr>
            <w:tcW w:w="7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86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2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состояния инвалида, анализ ИПРА, медицинской документации (заключений врачей-специалистов при необходимости), проведение антропометрических измерений, исследование толерантности к физической нагрузке;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протезированию;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консервативного лечения культи (при наличии временных противопоказаний к протезированию);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разработка схемы построения протеза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информации о конструкции протеза, его функциональных возможностях и ограничениях, а также планируемом реабилитационном эффекте;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культи средствами ЛФК и физиотерапии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Сбор социально-психологического анамнеза посредством беседы, опроса, анкетирования (при необходимости с привлечением законного (уполномоченного) представителя);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первичной (входящей) социально-психологической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индивидуально-личностное психологическое консультирование, направленное на проработку и решение обусловленных болезнью и инвалидностью проблем;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практических занятий (психологическая коррекция);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повторной (контрольной) социально-психологической диагностики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полустационарная, дистанционная с применением информационно-телекоммуникационных технологий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модели приемной гильзы: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 гипсовой технологии: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снятие слепка;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изготовление негатива усеченного сегмента конечности;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изготовление модели (позитива) усеченного сегмента конечности;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 аддитивной технологии: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сканирование усеченного сегмента;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моделирование приемной гильзы, получение электронной цифровой модели.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приемной (тестовой или постоянной) гильзы, в том числе методом 3D печати или иного средства соединения усеченного сегмента с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приемной гильзы (тестовой или постоянной);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узлов (модулей) и других составляющих протеза, обеспечивающих заданные характеристики и параметры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протеза, настройка узлов (модулей), в том числе с микропроцессорным управлением. Отделка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 первичном протезировании приемной (тестовой или постоянной)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врачебный контроль (осмотр и оценка состояния культи) в процессе протезирования;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протеза инвалиду для постоянного пользования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протеза,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протеза с учетом особенностей культи и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и (или) замена приемной тестовой гильзы, коррекция схемы построения протеза по результатам ходьбы;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настройка протеза с микропроцессорным управлением;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индивидуального режима пользования протезом (на основании функциональных нагрузочных проб)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инвалида пользованию протезом, функциональная адаптация: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- формирование стереотипа движений, выработка навыков симметричной и ритмичной (сложно координированной) ходьбы на протезе нижней конечности (при первичном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протезировании);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- надевание (снятие) протеза, присаживание на стул и вставание, стояние, ходьба в брусьях, по лестнице и наклонной плоскости, по различным поверхностям (искусственная трава, гравий, песок и другое), передвижение с дополнительной опорой (трость, костыль, палки для "скандинавской" ходьбы), по наклонной поверхности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Замена приемной гильзы по мере изменения параметров культи;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протеза и его ремонт в период действия гарантийного срока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15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925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tcW w:w="865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Динамическое наблюдение (регулярный сбор обратной связи с периодичностью раз в три месяца в первый год обслуживания и раз в полгода в последующие годы использования);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дистанционное с применением информационно-телекоммуникационных технологий по вопросам реабилитации и абилитации, пользования протезом, сервисного обслуживания протеза, в том числе с применением мобильного приложения или интернет-платформы (при наличии технической возможности), удаленная настройка протеза со специалистом сервисного обслуживания (при наличии технической возможности), онлайн, сбор и анализ информации о формате пользования протезом</w:t>
            </w:r>
          </w:p>
        </w:tc>
        <w:tc>
          <w:tcPr>
            <w:tcW w:w="2290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дистанционная с применением информационно-телекоммуникационных технологий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22. Показатели кратности мероприятий, входящих в состав услуги при первичном, первично-постоянном протезировании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381"/>
        <w:gridCol w:w="1134"/>
        <w:gridCol w:w="1191"/>
        <w:gridCol w:w="1361"/>
        <w:gridCol w:w="1304"/>
        <w:gridCol w:w="1701"/>
        <w:gridCol w:w="1474"/>
        <w:gridCol w:w="1304"/>
        <w:gridCol w:w="1134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12.1, ЦРГ 13.1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12.3,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12.2, ЦРГ 13.2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90 - 161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12.4,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90 - 161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+ ЦРГ 12.3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13.1 +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28 - 70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90 - 161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+ ЦРГ 12.4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13.1 +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42 - 105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132 - 240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12.2 + ЦРГ 12.3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13.2 +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42 - 105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36 - 54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132 - 240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12.2 + ЦРГ 12.4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13.2 +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48 - 72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56 - 140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20 - 28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48 - 72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175 - 318</w:t>
            </w:r>
          </w:p>
        </w:tc>
      </w:tr>
    </w:tbl>
    <w:p>
      <w:pPr>
        <w:sectPr>
          <w:headerReference w:type="default" r:id="rId43"/>
          <w:headerReference w:type="first" r:id="rId43"/>
          <w:footerReference w:type="default" r:id="rId44"/>
          <w:footerReference w:type="first" r:id="rId4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23. Показатели кратности мероприятий, входящих в состав услуги при постоянном протезировании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381"/>
        <w:gridCol w:w="1134"/>
        <w:gridCol w:w="1191"/>
        <w:gridCol w:w="1361"/>
        <w:gridCol w:w="1304"/>
        <w:gridCol w:w="1701"/>
        <w:gridCol w:w="1474"/>
        <w:gridCol w:w="1304"/>
        <w:gridCol w:w="1134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12.1, ЦРГ 13.1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6 - 9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14 - 28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1 - 9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24 - 59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12.3,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6 - 9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14 - 28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1 - 9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24 - 59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12.2, ЦРГ 13.2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35 - 111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12.4,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35 - 111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+ ЦРГ 12.3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13.1 +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12 - 18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28 - 56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1 - 18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35 - 111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+ ЦРГ 12.4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13.1 +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18 - 27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1 - 27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79 - 165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38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12.2 + ЦРГ 12.3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13.2 + ЦРГ 13.3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18 - 27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42 - 84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15 - 21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1 - 27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79 - 165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38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12.2 + ЦРГ 12.4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13.2 + ЦРГ 13.4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24 - 36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56 - 112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20 - 28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104 - 217</w:t>
            </w:r>
          </w:p>
        </w:tc>
      </w:tr>
    </w:tbl>
    <w:p>
      <w:pPr>
        <w:sectPr>
          <w:headerReference w:type="default" r:id="rId43"/>
          <w:headerReference w:type="first" r:id="rId43"/>
          <w:footerReference w:type="default" r:id="rId44"/>
          <w:footerReference w:type="first" r:id="rId4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24. Показатели продолжительности мероприятий, входящих в состав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6529"/>
        <w:gridCol w:w="196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5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протезированию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протезирования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529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протезом</w:t>
            </w:r>
          </w:p>
        </w:tc>
        <w:tc>
          <w:tcPr>
            <w:tcW w:w="1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организация, для оказания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0"/>
        <w:gridCol w:w="4133"/>
        <w:gridCol w:w="4872"/>
        <w:gridCol w:w="2545"/>
        <w:gridCol w:w="1357"/>
      </w:tblGrid>
      <w:tr>
        <w:tc>
          <w:tcPr>
            <w:tcW w:w="6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 </w:t>
            </w:r>
            <w:hyperlink w:history="0" w:anchor="P1110" w:tooltip="&lt;7&gt; Наименования групп реабилитационного оборудования приведены в соответствие с разделами 5 и 6 ГОСТ Р 59904-2021 &quot;Национальный стандарт Российской Федерации. Оснащение организаций, оказывающих услуги по протезированию и ортезированию. Общие требования&quot;, введенного в действие приказом Федерального агентства по техническому регулированию и метрологии от 29 ноября 2021 г. N 1630-ст (М.: Российский институт стандартизации, 2021)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48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 </w:t>
            </w:r>
            <w:hyperlink w:history="0" w:anchor="P1111" w:tooltip="&lt;8&gt; Наименования вспомогательных средств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..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25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1111" w:tooltip="&lt;8&gt; Наименования вспомогательных средств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..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13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обследовании инвалида, контроля качества оказания услуги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Кресло-коляска с ручным приводом и дополнительным силовым блоком</w:t>
            </w:r>
          </w:p>
        </w:tc>
        <w:tc>
          <w:tcPr>
            <w:tcW w:w="2545" w:type="dxa"/>
          </w:tcPr>
          <w:p>
            <w:pPr>
              <w:pStyle w:val="0"/>
            </w:pPr>
            <w:hyperlink w:history="0" r:id="rId4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12 22 12</w:t>
              </w:r>
            </w:hyperlink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545" w:type="dxa"/>
          </w:tcPr>
          <w:p>
            <w:pPr>
              <w:pStyle w:val="0"/>
            </w:pPr>
      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12 06 03</w:t>
              </w:r>
            </w:hyperlink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Костыли с подлокотниками</w:t>
            </w:r>
          </w:p>
        </w:tc>
        <w:tc>
          <w:tcPr>
            <w:tcW w:w="2545" w:type="dxa"/>
            <w:tcBorders>
              <w:bottom w:val="nil"/>
            </w:tcBorders>
          </w:tcPr>
          <w:p>
            <w:pPr>
              <w:pStyle w:val="0"/>
            </w:pPr>
            <w:hyperlink w:history="0" r:id="rId4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545" w:type="dxa"/>
            <w:tcBorders>
              <w:top w:val="nil"/>
            </w:tcBorders>
          </w:tcPr>
          <w:p>
            <w:pPr>
              <w:pStyle w:val="0"/>
            </w:pPr>
            <w:hyperlink w:history="0" r:id="rId4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Трости (регулируемые, с подлокотниками)</w:t>
            </w:r>
          </w:p>
        </w:tc>
        <w:tc>
          <w:tcPr>
            <w:tcW w:w="2545" w:type="dxa"/>
          </w:tcPr>
          <w:p>
            <w:pPr>
              <w:pStyle w:val="0"/>
            </w:pPr>
            <w:hyperlink w:history="0" r:id="rId4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12 03 03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Негоатоскоп медицинский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238840, 238570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Подоскоп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202150, 238570, 238840, 248490, 248490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Уровень лазерный/нивелир/установка лазерная для контроля качества сборки протезов и ортезов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Отвес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Уровень/ватерпас для таза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Весы напольные (электронные, механические)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258800, 258840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Ростомер медицинский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157600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Лента измерительная, многоразового использования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105620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мерных клиньев (дощечек)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Угломер складной (или гониометр)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181060, 181270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Электромиограф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292080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Очиститель воздуха фильтрующий высокоэффективный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152690, 1527006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 для измерения артериального давления электрический с ручным нагнетением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122830, 122850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 для проведения мероприятий по подготовке к протезированию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мягких модулей для зала лечебной физкультуры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Гимнастический инвентарь (утяжелители, палки, гантели, фитболы, эластичные ленты)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электростимуляции для улучшения ходьбы, внешняя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156650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пассивной/активной разработки тазобедренного/коленного сустава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102930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пассивной разработки плечевого/локтевого сустава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208810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ультразвуковая для физиотерапии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182600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глубокой электромагнитной стимуляции тканей, профессиональная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285040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Лазер для физиотерапии/опорно-двигательной системы, профессиональный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317670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физиотерапевтическая чрескожной электрической нейромиостимуляции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181480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транскраниальной электростимуляции, импульсная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276000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последовательностной венозной компрессии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157940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Комплекс акустический для коррекции психосоматического состояния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342050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оценки психологического статуса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175960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обучении пользованию протезом верхних конечностей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Блок для йоги (2 шт.)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12.1,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12.2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13.1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Бодибар (палка гимнастическая) (1 - 5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Гантели наборные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спины гребной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107510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Зеркала настенные (высокие), настольные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Универсальный эспандер ленточный (5 шт.)/фитнес-резинки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гантелей виниловых (2 шт. по 1 кг, 2 шт. по 2 кг, 2 шт. по 3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Блоковые тренажеры - кроссовер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Блочная рама, нижняя/верхняя тяга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Манжета-утяжелитель для рук (2 шт. по 0,5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резиновых мячиков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Тренажеры для пальцев рук и кисти (змейка, спираль, ротационный тренажер или аналоги)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Штанга для фитнеса разборная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для занятий с регулировкой высоты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Кухонная и обеденная посуда, адаптированная под ограничения движения и стандартная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Плитка или плита электрическая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Микроволновая печь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бытовой с изменяющейся высотой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Холодильник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Унитаз для сидения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208190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Лепная масса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Материал для рисования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133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обучении пользованию протезом нижних конечностей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Платформа для системы стабилографии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228390</w:t>
            </w:r>
          </w:p>
        </w:tc>
        <w:tc>
          <w:tcPr>
            <w:tcW w:w="13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12.3,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12.4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13.3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ЦРГ 13.4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Балансировочная платформа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Блок для йоги (2 шт.)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Бодибар (палка гимнастическая) (1 - 5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Гантели наборные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Гребной тренажер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Зеркала настенные (высокие), настольные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Коврик для йоги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116920,116940, 116990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Универсальный эспандер ленточный (5 шт.)/фитнес-резинки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гантелей виниловых (2 шт. по 1 кг, 2 шт. по 2 кг, 2 шт. по 3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122810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восстановления функции ходьбы в виде беговой дорожки/эллиптического тренажера</w:t>
            </w:r>
          </w:p>
        </w:tc>
        <w:tc>
          <w:tcPr>
            <w:tcW w:w="254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147370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в виде параллельных брусьев для тренировки ходьбы, без электропитания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213860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Горка для ходьбы реабилитационная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Кегли для физкультуры (3 шт.)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Костыль с опорой под локоть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302470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Костыль подмышечный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207290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Манжета-утяжелитель для ног (2 шт. по 2,5 кг)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Мяч волейбольный (2 шт.)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Треккинговые палки (палки для скандинавской ходьбы)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Усеченный (круглый) валик для массажа (материал - кожзаменитель)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Ходунки опорные бариатрические (без колес)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131030, 131130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Велотренажер (при всех типах ампутаций, кроме парной ампутации)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140800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подвесная реабилитационная для вертикализации/подвесная потолочная система (при парной ампутации нижних конечностей)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подъема и перемещения пациента с помощью верхних направляющих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172880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Комплексная медицинская реабилитационная станция с комплектом мягких модулей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9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анализа нервно-мышечной функции, с отслеживанием движения (для оценки биомеханики движений на протезе)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240770</w:t>
            </w:r>
          </w:p>
        </w:tc>
        <w:tc>
          <w:tcPr>
            <w:tcW w:w="13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0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реабилитации виртуальная, без поддержки, клиническая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324120</w:t>
            </w:r>
          </w:p>
        </w:tc>
        <w:tc>
          <w:tcPr>
            <w:tcW w:w="135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оформлении заказа и снятии мерок Оснащение, применяемое при снятии гипсовых слепков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116920, 116940, 116990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ЦРЕ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 для гипсования (устройство для снятия негатива)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Мерные дощечки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Клинья прижимные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переноса размеров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Тумбочка для гипсовых бинтов и комплектующих или шкаф для хранения гипсовых бинтов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Стеллаж для слепков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для намачивания гипсовых бинтов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Сосуд с крышкой с вазелином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Тара для гипсовых отходов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для ног (душевая кабина)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работе с гипсом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для гипсового моделирования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(тиски) для фиксации гипсовых позитивов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с песком для фиксации гипсового негатива при заливке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Термошкаф для сушки гипсовых позитивов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Бункер/дозатор для гипса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 для обработки гипсовых позитивов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для приготовления гипсового раствора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приемной гильзы по аддитивной технологии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программным продуктом 3D моделирования приемной гильзы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3D-принтер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690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133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приемной гильзы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А. Из листового термопласта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Термостол или термошкаф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фиксации гипсовых позитивов (верстак или стойка с тисками)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Набор для глубокой вытяжки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Насос вакуумный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Пила дисковая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Компрессор мобильный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Ножницы рычажные листовые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Прочий ручной инструмент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Б. Из литьевого слоистого пластика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рабочий с тисками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для раскроя и укладки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вакуумная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Термопечь с вакуумом/автоклав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 с тумбочкой с выдвижными ящиками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690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3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Весы электронные настольные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замешивания литьевых смол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работы с препрегами и материалами из карбона.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Морозильный ларь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В. Из силикона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 с тисками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Вальцы для силикона (электрические, механические)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Камера холодильная.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Рулетка измерительная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69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133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механической обработке, сборке и подгонке протеза</w:t>
            </w:r>
          </w:p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5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шлифовально-фрезерный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сверлильный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точильный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ленточно-пильный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ленточно-шлифовальный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для стружкоотсоса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компрессорная для удаления позитива из гильзы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Насадки силиконовые для обработки термопластов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сборки протезов и (или) ортезов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лазерная для контроля качества сборки протезов и ортезов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8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54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43"/>
          <w:headerReference w:type="first" r:id="rId43"/>
          <w:footerReference w:type="default" r:id="rId44"/>
          <w:footerReference w:type="first" r:id="rId4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110" w:name="P1110"/>
    <w:bookmarkEnd w:id="11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Наименования групп реабилитационного оборудования приведены в соответствие с </w:t>
      </w:r>
      <w:hyperlink w:history="0" r:id="rId50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разделами 5</w:t>
        </w:r>
      </w:hyperlink>
      <w:r>
        <w:rPr>
          <w:sz w:val="24"/>
        </w:rPr>
        <w:t xml:space="preserve"> и </w:t>
      </w:r>
      <w:hyperlink w:history="0" r:id="rId51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ГОСТ Р 59904-2021 "Национальный стандарт Российской Федерации. Оснащение организаций, оказывающих услуги по протезированию и ортезированию. Общие требования", введенного в действие приказом Федерального агентства по техническому регулированию и метрологии от 29 ноября 2021 г. N 1630-ст (М.: Российский институт стандартизации, 2021).</w:t>
      </w:r>
    </w:p>
    <w:bookmarkStart w:id="1111" w:name="P1111"/>
    <w:bookmarkEnd w:id="1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Наименования вспомогательных средств и код вида/класса вспомогательных средств и технических средств реабилитации приведены в соответствии с </w:t>
      </w:r>
      <w:hyperlink w:history="0" r:id="rId5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разделом 6</w:t>
        </w:r>
      </w:hyperlink>
      <w:r>
        <w:rPr>
          <w:sz w:val="24"/>
        </w:rPr>
        <w:t xml:space="preserve"> ГОСТ Р ИСО 9999-2019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4н (при обновлении Номенклатурной классификации, код вида может быть изменен).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5839"/>
        <w:gridCol w:w="2494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83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Методы физиотерапии: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12, ЦРГ 13</w:t>
            </w:r>
          </w:p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583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электромагнитотерапия;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фототерапия;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лечебный массаж;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потивоотечные методы (кинезиотейпирование или тугое бинтование культи);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термотерапия;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кинезотерапия;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водолечение, грязелечение;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583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баротерапия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Методы лечебной физкультуры: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12, ЦРГ 13</w:t>
            </w:r>
          </w:p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583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лечебная гимнастика;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гидротерапия;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583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механотерапия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Психостимулирующие методы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12, ЦРГ 13</w:t>
            </w:r>
          </w:p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583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Транскранеальная низкочастотная магнитотерапия;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583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мезодиэнцефальная модуляция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протезов верхних конечностей</w:t>
            </w:r>
          </w:p>
          <w:p>
            <w:pPr>
              <w:pStyle w:val="0"/>
            </w:pPr>
            <w:r>
              <w:rPr>
                <w:sz w:val="24"/>
              </w:rPr>
              <w:t xml:space="preserve">(косметических, рабочих, активных, с микропроцессорным управлением):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12.1, ЦРГ 13.1, ЦРГ 12.2, ЦРГ 13.2</w:t>
            </w:r>
          </w:p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583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кисти;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предплечья;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58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плеча;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583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после вычленения плеча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протезов нижних конечностей (модульных, немодульных, с микропроцессорным управлением):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ЦРГ 12.3, ЦРГ 13.3, ЦРГ 12.4, ЦРГ 13.4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стопы;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голени;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бедра;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протезов после вычленения бедра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5839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Методики обучения пользованию протезами: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ЦРГ 12.1, ЦРГ 13.1, ЦРГ 12.2, ЦРГ 13.2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12.3, ЦРГ 13.3, ЦРГ 12.4, ЦРГ 13.4</w:t>
            </w:r>
          </w:p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583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протезами верхних конечностей;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583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и коррекция ходьбы на протезах голени и бедра</w:t>
            </w:r>
          </w:p>
        </w:tc>
        <w:tc>
          <w:tcPr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Пособия для специалистов по 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руководство/под редакцией Г.Н. Пономаренко. - М.: ГЭОТАР-Медиа, 2018. - 736 с.: ил.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руководство. - М.: ГЭОТАР-Медиа, 2020. - 544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Физическая и реабилитационная медицина: национальное руководство/под редакцией Г.Н. Пономаренко. - М.: ГЭОТАР-Медиа, 2024. - 912 с.: ил.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Физические методы лечения: справочник/под редакцией Пономаренко Г.Н. - СПб, 2024. - 294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Боевая травма: медико-социальная реабилитация: практическое руководство/под. ред. Г.Н. Пономаренко. - Москва: ГЭОТАР-Медиа, 2023. - 304 с.: ил. - DOI: 10.33029/9704-7919-3-ВТМ-2023-1-304.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Методические рекомендации "Медицинская реабилитация и протезирование пациентов с ампутациями конечностей вследствие боевой травмы (издание 2 переработанное и дополненное)", 2024. - 134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Методические рекомендации по установлению медицинских показаний и противопоказаний при назначении специалистами медико-социальной экспертизы технических средств реабилитации инвалида и методика их рационального подбора. Издание третье переработанное и дополненное/Под редакцией О.С. Андреевой. - М.: Минтруда России, 2018. - 716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бедра с силиконовыми чехлами на короткую и среднюю культю (ПН6Э-3, ПН6Э-1). Практическое пособие/Ракетно-космическая корпорация "ЭНЕРГИЯ" имени С.П. Королева. - Москва, 2006. - 44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после вычленения в тазобедренном суставе (ПН8Э-1). Практическое пособие/Ракетно-космическая корпорация "ЭНЕРГИЯ" имени С.П. Королева - Москва, 2002. - 36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голени с силиконовыми чехлами на короткую и среднюю культю (ПН3Э-1) Практическое пособие/Ракетно-космическая корпорация "ЭНЕРГИЯ" имени С.П. Королева - Москва, 2006. - 45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голени на короткую, среднюю и длинную культю (ПН3Э-1, ПН3Э-2, ПН3Э-3) Практическое пособие/Ракетно-космическая корпорация "ЭНЕРГИЯ" имени С.П. Королева. - Москва, 2001. - 38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предплечья на среднюю и короткую культю на основе каркасных кистей (ПР23-4, ПР23-5 ПР23-7). Практическое пособие/Ракетно-космическая корпорация "ЭНЕРГИЯ" имени С.П. Королева. - Москва, 2002. - 32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плеча на длинную, среднюю и короткую культю: ПР4Э-1, ПР4Э-2 ПР4Э-3 из модулей Г.Т. Руденко. ПР4Э-9 с каркасными кистями, Практическое пособие/Ракетно-космическая корпорация "ЭНЕРГИЯ" имени С.П. Королева - Москва, 2003. - 45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Изготовление протезов предплечья конструкции Г.Т. Руденко на среднюю и короткую культю (ПР2Э-3). Практическое пособие/Ракетно-космическая корпорация "ЭНЕРГИЯ" имени С.П. Королева. - Москва, 2002.-33 с.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конкретные цели реабилитации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динамка, все поставленные цели реабилитации не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не достигнуты).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Методика оценки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Оценку результатов реализации услуги выполняют путем определения соответствия исполнения протеза требованиям технической документации, его соответствия функциональному (медицинскому), социальному (условия эксплуатации и потребности) назначению, а также моральному удовлетворению инвалида качеством оказания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Результатом положительной оценки считать ответ "соответствует". В случае оценки "не соответствует" необходимо дать рекомендацию по устранению выявленных несоответствий технической документации.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Оценка реализации услуги по протезированию верхних и (или) нижних конечностей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9"/>
        <w:gridCol w:w="6961"/>
        <w:gridCol w:w="2144"/>
        <w:gridCol w:w="1794"/>
      </w:tblGrid>
      <w:tr>
        <w:tc>
          <w:tcPr>
            <w:tcW w:w="2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 оценки</w:t>
            </w:r>
          </w:p>
        </w:tc>
        <w:tc>
          <w:tcPr>
            <w:tcW w:w="69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</w:t>
            </w:r>
          </w:p>
        </w:tc>
        <w:tc>
          <w:tcPr>
            <w:tcW w:w="21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Метод оценки</w:t>
            </w:r>
          </w:p>
        </w:tc>
        <w:tc>
          <w:tcPr>
            <w:tcW w:w="17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 оценки (соответствует или не соответствует)</w:t>
            </w:r>
          </w:p>
        </w:tc>
      </w:tr>
      <w:tr>
        <w:tc>
          <w:tcPr>
            <w:tcW w:w="2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9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Технический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требованиям технической документации: техническим условиям, технологической документации, контракту, формам документаций по протезированию</w:t>
            </w:r>
          </w:p>
        </w:tc>
        <w:tc>
          <w:tcPr>
            <w:tcW w:w="214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документам, инструментальный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соответствия протеза нижней конечности функциональному назначению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находиться в основных положениях (сидение, стояние, присаживание, вставание, наклоны туловища);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особенности ходьбы на протезе;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условия ходьбы по разным поверхностям;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перемещения приставным шагом;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влияние протеза на культю;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компенсации косметического дефекта;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устойчивость системы "человек-протез";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уровню анатомического дефекта нижней конечности</w:t>
            </w:r>
          </w:p>
        </w:tc>
        <w:tc>
          <w:tcPr>
            <w:tcW w:w="214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комплектации протеза (приемной гильзы, модуля колена, искусственной стопы, крепления) персонифицированному подходу в назначении;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схемы построения протеза индивидуальным параметрам инвалида с обеспечением подкосоустойчивости, способности перераспределять нагрузку равномерно на искусственную и сохранную нижнюю конечность при определенных уровнях ампутации и опороспособности</w:t>
            </w:r>
          </w:p>
        </w:tc>
        <w:tc>
          <w:tcPr>
            <w:vMerge w:val="continue"/>
          </w:tcPr>
          <w:p/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Эксплуатационно-потребительский для протеза нижней конечности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надевания и снятия;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и надежность крепления на культе;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сопротивление скольжению, управляемость протезом нижней конечности; масса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формоустойчивость приемной гильзы и косметической оболочки протеза; гибкость эластичных вкладных элементов приемной гильзы</w:t>
            </w:r>
          </w:p>
        </w:tc>
        <w:tc>
          <w:tcPr>
            <w:tcW w:w="214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соответствия протеза верхней конечности функциональному назначению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протеза уровню анатомического дефекта верхней конечности (приобретенного и (или) врожденного);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степень компенсации косметического дефекта верхней конечности;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возможность выполнять заданные функции (раскрытие (закрытие) искусственной кисти, выполнение различных схватов, удержание предметов, перенос груза);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влияние протеза на культю;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соответствие комплектации протеза (приемной гильзы, искусственной кисти, узлов (модулей), крепления) персонифицированному подходу в назначении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Клинический, 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Эксплуатационно-потребительский для протеза верхней конечности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надевания и снятия;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и надежность крепления на культе;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управляемость протезом верхней конечности;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масса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формоустойчивость приемной гильзы и косметической оболочки протеза; гибкость эластичных вкладных элементов приемной гильзы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Объем услуги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Состав, содержание и порядок оказания услуги по протезированию верхней (нижней) конечности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документам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Гигиенический, (обеспечение оптимального функционирования культи в приемной гильзе)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обеспечивать терморегуляцию (поддержание определенной температуры), доступ воздуха и своевременное удаление продуктов распада жизнедеятельности человека (пота, углекислого газа), обеспечение санитарно-гигиенической обработки приемной гильзы и культи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Доступность услуги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Удобство расположения и простота доступа к услуге и простота пользования, возможность быстрой связи при возникновении проблем с изготовителем, организацией, оказывающей услугу по протезированию верхней (нижней) конечности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Доверительность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Репутационный ресурс поставщика услуги по протезированию, его пунктуальность в соблюдении сроков, гарантийных обязательств, постгарантийного сервиса и консультационной поддержки оказанной услуги по протезированию верхней (нижней) конечности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Компетентность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Понимание проблем пациента, связанных с заболеванием, ампутационным дефектом, утратой мобильности (способности к передвижению, самообслуживанию), наличием бытовых, профессиональных и социальных барьеров, способности к самообслуживанию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Надежность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предоставить услугу на высоком профессиональном уровне, качественно, в указанные сроки и с гарантийными обязательствами</w:t>
            </w:r>
          </w:p>
        </w:tc>
        <w:tc>
          <w:tcPr>
            <w:tcW w:w="2144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Обеспечение безопасности (менеджмент рисков)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Отсутствие или минимизация рисков, связанных с техническими характеристиками протеза, обретением или дефицитом навыков пользования протезом и креплениями к протезу, навыков ухода за культей и протезом, применяемыми материалами и технологиями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документу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Компетентность специалистов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у врачей и инструкторов по лечебной физкультуре навыков и знаний, необходимых для оказания услуги по протезирования нижней (верхней) конечности, включая обучение ходьбе на протезе, выполнению мануальных действий, наличие практических навыков профессиональных действий и решений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Коммуникабельность, доброжелательное отношение к получателю услуги по протезированию</w:t>
            </w:r>
          </w:p>
        </w:tc>
        <w:tc>
          <w:tcPr>
            <w:tcW w:w="696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выслушать и учитывать мнение пациента;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профессионально и деликатно информировать его о технических характеристиках протеза;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ожидаемом уровне восстановления мобильности;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потребности в дополнительных ТСР при пользовании протезом;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правила ухода за культей и протезом, включая обучение сопровождающих законных (уполномоченных) представителей для соблюдения правил пользования и динамического наблюдения;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передача информации на доступном для понимания пациента уровне, избегая сложный профессиональный понятийный набор терминов;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доброжелательно выслушать пациента в случае обращения с жалобой;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оповещение пациента об изменениях, связанных с характером работы или технических изменениях;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достижение компромисса и оформлением информированного согласия на особенности этапов оказания услуги по протезированию и фиксацию результатов оценки протезирования (инструментального, фото-видеофиксация, цифровое ЗД-сканирование)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Соблюдение принципов универсального дизайна для различных категорий граждан с инвалидностью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Обстановка и внешний вид помещений, оборудования, внешний вид персонала, наглядность и доступность информационных материалов для всех категорий пациентов, в том числе с нарушениями слуха, зрения;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визуальных и осязаемых характеристик для получателя услуги по протезированию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Социологический (Опрос)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обучающих ресурсов пользованию протезами с соблюдением правил безопасности и ухода за изделиями</w:t>
            </w:r>
          </w:p>
        </w:tc>
        <w:tc>
          <w:tcPr>
            <w:tcW w:w="696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Наличие программ обучения пользованию протезами с соблюдением правил безопасности и ухода за изделиями</w:t>
            </w:r>
          </w:p>
        </w:tc>
        <w:tc>
          <w:tcPr>
            <w:tcW w:w="2144" w:type="dxa"/>
          </w:tcPr>
          <w:p>
            <w:pPr>
              <w:pStyle w:val="0"/>
            </w:pPr>
            <w:r>
              <w:rPr>
                <w:sz w:val="24"/>
              </w:rPr>
              <w:t xml:space="preserve">По документам</w:t>
            </w:r>
          </w:p>
        </w:tc>
        <w:tc>
          <w:tcPr>
            <w:tcW w:w="1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43"/>
      <w:headerReference w:type="first" r:id="rId43"/>
      <w:footerReference w:type="default" r:id="rId44"/>
      <w:footerReference w:type="first" r:id="rId44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06.06.2025 N 366н</w:t>
            <w:br/>
            <w:t>"Об утверждении Стандарта оказания услуги по протезированию инвалидов, получ...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06.06.2025 N 366н</w:t>
            <w:br/>
            <w:t>"Об утверждении Стандарта оказания услуги по протезированию инвалидов, получ...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14.07.2025&amp;dst=471&amp;field=134&amp;demo=2" TargetMode = "External"/>
	<Relationship Id="rId8" Type="http://schemas.openxmlformats.org/officeDocument/2006/relationships/hyperlink" Target="https://login.consultant.ru/link/?req=doc&amp;base=LAW&amp;n=483022&amp;date=14.07.2025&amp;demo=2" TargetMode = "External"/>
	<Relationship Id="rId9" Type="http://schemas.openxmlformats.org/officeDocument/2006/relationships/hyperlink" Target="https://login.consultant.ru/link/?req=doc&amp;base=LAW&amp;n=465514&amp;date=14.07.2025&amp;demo=2" TargetMode = "External"/>
	<Relationship Id="rId10" Type="http://schemas.openxmlformats.org/officeDocument/2006/relationships/hyperlink" Target="https://login.consultant.ru/link/?req=doc&amp;base=LAW&amp;n=495712&amp;date=14.07.2025&amp;demo=2" TargetMode = "External"/>
	<Relationship Id="rId11" Type="http://schemas.openxmlformats.org/officeDocument/2006/relationships/hyperlink" Target="https://login.consultant.ru/link/?req=doc&amp;base=LAW&amp;n=489991&amp;date=14.07.2025&amp;demo=2" TargetMode = "External"/>
	<Relationship Id="rId12" Type="http://schemas.openxmlformats.org/officeDocument/2006/relationships/hyperlink" Target="https://login.consultant.ru/link/?req=doc&amp;base=LAW&amp;n=500417&amp;date=14.07.2025&amp;demo=2" TargetMode = "External"/>
	<Relationship Id="rId13" Type="http://schemas.openxmlformats.org/officeDocument/2006/relationships/hyperlink" Target="https://login.consultant.ru/link/?req=doc&amp;base=LAW&amp;n=481937&amp;date=14.07.2025&amp;demo=2" TargetMode = "External"/>
	<Relationship Id="rId14" Type="http://schemas.openxmlformats.org/officeDocument/2006/relationships/hyperlink" Target="https://login.consultant.ru/link/?req=doc&amp;base=LAW&amp;n=358709&amp;date=14.07.2025&amp;demo=2" TargetMode = "External"/>
	<Relationship Id="rId15" Type="http://schemas.openxmlformats.org/officeDocument/2006/relationships/hyperlink" Target="https://login.consultant.ru/link/?req=doc&amp;base=LAW&amp;n=358710&amp;date=14.07.2025&amp;demo=2" TargetMode = "External"/>
	<Relationship Id="rId16" Type="http://schemas.openxmlformats.org/officeDocument/2006/relationships/hyperlink" Target="https://login.consultant.ru/link/?req=doc&amp;base=LAW&amp;n=141047&amp;date=14.07.2025&amp;demo=2" TargetMode = "External"/>
	<Relationship Id="rId17" Type="http://schemas.openxmlformats.org/officeDocument/2006/relationships/hyperlink" Target="https://login.consultant.ru/link/?req=doc&amp;base=LAW&amp;n=502861&amp;date=14.07.2025&amp;demo=2" TargetMode = "External"/>
	<Relationship Id="rId18" Type="http://schemas.openxmlformats.org/officeDocument/2006/relationships/hyperlink" Target="https://login.consultant.ru/link/?req=doc&amp;base=LAW&amp;n=359764&amp;date=14.07.2025&amp;demo=2" TargetMode = "External"/>
	<Relationship Id="rId19" Type="http://schemas.openxmlformats.org/officeDocument/2006/relationships/hyperlink" Target="https://login.consultant.ru/link/?req=doc&amp;base=LAW&amp;n=195259&amp;date=14.07.2025&amp;demo=2" TargetMode = "External"/>
	<Relationship Id="rId20" Type="http://schemas.openxmlformats.org/officeDocument/2006/relationships/hyperlink" Target="https://login.consultant.ru/link/?req=doc&amp;base=LAW&amp;n=483328&amp;date=14.07.2025&amp;demo=2" TargetMode = "External"/>
	<Relationship Id="rId21" Type="http://schemas.openxmlformats.org/officeDocument/2006/relationships/hyperlink" Target="https://login.consultant.ru/link/?req=doc&amp;base=LAW&amp;n=307256&amp;date=14.07.2025&amp;demo=2" TargetMode = "External"/>
	<Relationship Id="rId22" Type="http://schemas.openxmlformats.org/officeDocument/2006/relationships/hyperlink" Target="https://login.consultant.ru/link/?req=doc&amp;base=LAW&amp;n=354075&amp;date=14.07.2025&amp;demo=2" TargetMode = "External"/>
	<Relationship Id="rId23" Type="http://schemas.openxmlformats.org/officeDocument/2006/relationships/hyperlink" Target="https://login.consultant.ru/link/?req=doc&amp;base=LAW&amp;n=433852&amp;date=14.07.2025&amp;demo=2" TargetMode = "External"/>
	<Relationship Id="rId24" Type="http://schemas.openxmlformats.org/officeDocument/2006/relationships/hyperlink" Target="https://login.consultant.ru/link/?req=doc&amp;base=LAW&amp;n=505406&amp;date=14.07.2025&amp;demo=2" TargetMode = "External"/>
	<Relationship Id="rId25" Type="http://schemas.openxmlformats.org/officeDocument/2006/relationships/hyperlink" Target="https://login.consultant.ru/link/?req=doc&amp;base=LAW&amp;n=431245&amp;date=14.07.2025&amp;demo=2" TargetMode = "External"/>
	<Relationship Id="rId26" Type="http://schemas.openxmlformats.org/officeDocument/2006/relationships/hyperlink" Target="https://login.consultant.ru/link/?req=doc&amp;base=LAW&amp;n=449248&amp;date=14.07.2025&amp;demo=2" TargetMode = "External"/>
	<Relationship Id="rId27" Type="http://schemas.openxmlformats.org/officeDocument/2006/relationships/hyperlink" Target="https://login.consultant.ru/link/?req=doc&amp;base=LAW&amp;n=509216&amp;date=14.07.2025&amp;demo=2" TargetMode = "External"/>
	<Relationship Id="rId28" Type="http://schemas.openxmlformats.org/officeDocument/2006/relationships/hyperlink" Target="https://login.consultant.ru/link/?req=doc&amp;base=LAW&amp;n=472970&amp;date=14.07.2025&amp;demo=2" TargetMode = "External"/>
	<Relationship Id="rId29" Type="http://schemas.openxmlformats.org/officeDocument/2006/relationships/hyperlink" Target="https://login.consultant.ru/link/?req=doc&amp;base=LAW&amp;n=484371&amp;date=14.07.2025&amp;demo=2" TargetMode = "External"/>
	<Relationship Id="rId30" Type="http://schemas.openxmlformats.org/officeDocument/2006/relationships/hyperlink" Target="https://login.consultant.ru/link/?req=doc&amp;base=LAW&amp;n=485076&amp;date=14.07.2025&amp;demo=2" TargetMode = "External"/>
	<Relationship Id="rId31" Type="http://schemas.openxmlformats.org/officeDocument/2006/relationships/hyperlink" Target="https://login.consultant.ru/link/?req=doc&amp;base=LAW&amp;n=497933&amp;date=14.07.2025&amp;demo=2" TargetMode = "External"/>
	<Relationship Id="rId32" Type="http://schemas.openxmlformats.org/officeDocument/2006/relationships/hyperlink" Target="https://login.consultant.ru/link/?req=doc&amp;base=LAW&amp;n=505404&amp;date=14.07.2025&amp;demo=2" TargetMode = "External"/>
	<Relationship Id="rId33" Type="http://schemas.openxmlformats.org/officeDocument/2006/relationships/hyperlink" Target="https://login.consultant.ru/link/?req=doc&amp;base=LAW&amp;n=483022&amp;date=14.07.2025&amp;dst=476&amp;field=134&amp;demo=2" TargetMode = "External"/>
	<Relationship Id="rId34" Type="http://schemas.openxmlformats.org/officeDocument/2006/relationships/hyperlink" Target="https://login.consultant.ru/link/?req=doc&amp;base=LAW&amp;n=495712&amp;date=14.07.2025&amp;dst=100348&amp;field=134&amp;demo=2" TargetMode = "External"/>
	<Relationship Id="rId35" Type="http://schemas.openxmlformats.org/officeDocument/2006/relationships/hyperlink" Target="https://login.consultant.ru/link/?req=doc&amp;base=LAW&amp;n=483022&amp;date=14.07.2025&amp;dst=462&amp;field=134&amp;demo=2" TargetMode = "External"/>
	<Relationship Id="rId36" Type="http://schemas.openxmlformats.org/officeDocument/2006/relationships/hyperlink" Target="https://login.consultant.ru/link/?req=doc&amp;base=LAW&amp;n=440938&amp;date=14.07.2025&amp;demo=2" TargetMode = "External"/>
	<Relationship Id="rId37" Type="http://schemas.openxmlformats.org/officeDocument/2006/relationships/hyperlink" Target="https://login.consultant.ru/link/?req=doc&amp;base=LAW&amp;n=480812&amp;date=14.07.2025&amp;dst=100018&amp;field=134&amp;demo=2" TargetMode = "External"/>
	<Relationship Id="rId38" Type="http://schemas.openxmlformats.org/officeDocument/2006/relationships/hyperlink" Target="https://login.consultant.ru/link/?req=doc&amp;base=LAW&amp;n=440938&amp;date=14.07.2025&amp;demo=2" TargetMode = "External"/>
	<Relationship Id="rId39" Type="http://schemas.openxmlformats.org/officeDocument/2006/relationships/hyperlink" Target="https://login.consultant.ru/link/?req=doc&amp;base=LAW&amp;n=483022&amp;date=14.07.2025&amp;demo=2" TargetMode = "External"/>
	<Relationship Id="rId40" Type="http://schemas.openxmlformats.org/officeDocument/2006/relationships/hyperlink" Target="https://login.consultant.ru/link/?req=doc&amp;base=LAW&amp;n=78502&amp;date=14.07.2025&amp;dst=100012&amp;field=134&amp;demo=2" TargetMode = "External"/>
	<Relationship Id="rId41" Type="http://schemas.openxmlformats.org/officeDocument/2006/relationships/hyperlink" Target="https://login.consultant.ru/link/?req=doc&amp;base=LAW&amp;n=135996&amp;date=14.07.2025&amp;dst=100010&amp;field=134&amp;demo=2" TargetMode = "External"/>
	<Relationship Id="rId42" Type="http://schemas.openxmlformats.org/officeDocument/2006/relationships/hyperlink" Target="https://login.consultant.ru/link/?req=doc&amp;base=LAW&amp;n=509216&amp;date=14.07.2025&amp;demo=2" TargetMode = "External"/>
	<Relationship Id="rId43" Type="http://schemas.openxmlformats.org/officeDocument/2006/relationships/header" Target="header2.xml"/>
	<Relationship Id="rId44" Type="http://schemas.openxmlformats.org/officeDocument/2006/relationships/footer" Target="footer2.xml"/>
	<Relationship Id="rId45" Type="http://schemas.openxmlformats.org/officeDocument/2006/relationships/hyperlink" Target="https://login.consultant.ru/link/?req=doc&amp;base=OTN&amp;n=26841&amp;date=14.07.2025&amp;dst=103068&amp;field=134&amp;demo=2" TargetMode = "External"/>
	<Relationship Id="rId46" Type="http://schemas.openxmlformats.org/officeDocument/2006/relationships/hyperlink" Target="https://login.consultant.ru/link/?req=doc&amp;base=OTN&amp;n=26841&amp;date=14.07.2025&amp;dst=101983&amp;field=134&amp;demo=2" TargetMode = "External"/>
	<Relationship Id="rId47" Type="http://schemas.openxmlformats.org/officeDocument/2006/relationships/hyperlink" Target="https://login.consultant.ru/link/?req=doc&amp;base=OTN&amp;n=26841&amp;date=14.07.2025&amp;dst=101959&amp;field=134&amp;demo=2" TargetMode = "External"/>
	<Relationship Id="rId48" Type="http://schemas.openxmlformats.org/officeDocument/2006/relationships/hyperlink" Target="https://login.consultant.ru/link/?req=doc&amp;base=OTN&amp;n=26841&amp;date=14.07.2025&amp;dst=101959&amp;field=134&amp;demo=2" TargetMode = "External"/>
	<Relationship Id="rId49" Type="http://schemas.openxmlformats.org/officeDocument/2006/relationships/hyperlink" Target="https://login.consultant.ru/link/?req=doc&amp;base=OTN&amp;n=26841&amp;date=14.07.2025&amp;dst=101951&amp;field=134&amp;demo=2" TargetMode = "External"/>
	<Relationship Id="rId50" Type="http://schemas.openxmlformats.org/officeDocument/2006/relationships/hyperlink" Target="https://login.consultant.ru/link/?req=doc&amp;base=OTN&amp;n=32711&amp;date=14.07.2025&amp;dst=100049&amp;field=134&amp;demo=2" TargetMode = "External"/>
	<Relationship Id="rId51" Type="http://schemas.openxmlformats.org/officeDocument/2006/relationships/hyperlink" Target="https://login.consultant.ru/link/?req=doc&amp;base=OTN&amp;n=32711&amp;date=14.07.2025&amp;dst=100079&amp;field=134&amp;demo=2" TargetMode = "External"/>
	<Relationship Id="rId52" Type="http://schemas.openxmlformats.org/officeDocument/2006/relationships/hyperlink" Target="https://login.consultant.ru/link/?req=doc&amp;base=OTN&amp;n=26841&amp;date=14.07.2025&amp;dst=10012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06.06.2025 N 366н
"Об утверждении Стандарта оказания услуги по протезированию инвалидов, получивших травму, ранение, контузию, увечье в связи с боевыми действиями"
(Зарегистрировано в Минюсте России 10.07.2025 N 82875)</dc:title>
  <dcterms:created xsi:type="dcterms:W3CDTF">2025-07-14T13:07:46Z</dcterms:created>
</cp:coreProperties>
</file>