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ГОСУДАРСТВЕННОЕ БЮДЖЕТНОЕ УЧРЕЖДЕНИЕ</w:t>
      </w:r>
    </w:p>
    <w:p>
      <w:pPr>
        <w:pStyle w:val="2"/>
        <w:jc w:val="center"/>
      </w:pPr>
      <w:r>
        <w:rPr>
          <w:sz w:val="24"/>
        </w:rPr>
        <w:t xml:space="preserve">ФЕДЕРАЛЬНОЕ БЮРО МЕДИКО-СОЦИАЛЬНОЙ ЭКСПЕРТИЗЫ</w:t>
      </w:r>
    </w:p>
    <w:p>
      <w:pPr>
        <w:pStyle w:val="2"/>
        <w:jc w:val="center"/>
      </w:pPr>
      <w:r>
        <w:rPr>
          <w:sz w:val="24"/>
        </w:rPr>
        <w:t xml:space="preserve">МИНИСТЕРСТВА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июня 2025 г. N 21082ФБ.77/2025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 ВОПРОСУ ВНЕСЕНИЯ ИЗМЕНЕНИЙ В ИПРА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Федеральное государственное бюджетное учреждение "Федеральное бюро медико-социальной экспертизы" Министерства труда и социальной защиты Российской Федерации (далее - Федеральное бюро) сообщает, что 26 мая 2025 г. </w:t>
      </w:r>
      <w:hyperlink w:history="0" r:id="rId6" w:tooltip="Приказ Минтруда России от 10.04.2025 N 199н &quot;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14.05.2025 N 8216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от 10 апреля 2025 г. N 199н "О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реабилитации" внесены изменения в </w:t>
      </w:r>
      <w:hyperlink w:history="0" r:id="rId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пункт 22</w:t>
        </w:r>
      </w:hyperlink>
      <w:r>
        <w:rPr>
          <w:sz w:val="24"/>
        </w:rPr>
        <w:t xml:space="preserve">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инвалидов, утвержденного приказом Министерства труда и социальной защиты Российской Федерации от 10 декабря 2024 г. N 687н (далее -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новую редакцию </w:t>
      </w:r>
      <w:hyperlink w:history="0" r:id="rId8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Перечня</w:t>
        </w:r>
      </w:hyperlink>
      <w:r>
        <w:rPr>
          <w:sz w:val="24"/>
        </w:rPr>
        <w:t xml:space="preserve"> внесены следующие технические средства реабилитации (далее - ТСР):</w:t>
      </w:r>
    </w:p>
    <w:p>
      <w:pPr>
        <w:pStyle w:val="0"/>
        <w:spacing w:before="240" w:line-rule="auto"/>
        <w:ind w:firstLine="540"/>
        <w:jc w:val="both"/>
      </w:pPr>
      <w:hyperlink w:history="0" r:id="rId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22-01-19</w:t>
        </w:r>
      </w:hyperlink>
      <w:r>
        <w:rPr>
          <w:sz w:val="24"/>
        </w:rPr>
        <w:t xml:space="preserve"> - прокладки урологические для мужчин с полным влагопоглощением не менее 450 г;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22-01-20</w:t>
        </w:r>
      </w:hyperlink>
      <w:r>
        <w:rPr>
          <w:sz w:val="24"/>
        </w:rPr>
        <w:t xml:space="preserve"> - прокладки урологические для мужчин с полным влагопоглощением не менее 750 г;</w:t>
      </w:r>
    </w:p>
    <w:p>
      <w:pPr>
        <w:pStyle w:val="0"/>
        <w:spacing w:before="240" w:line-rule="auto"/>
        <w:ind w:firstLine="540"/>
        <w:jc w:val="both"/>
      </w:pPr>
      <w:hyperlink w:history="0" r:id="rId1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22-01-21</w:t>
        </w:r>
      </w:hyperlink>
      <w:r>
        <w:rPr>
          <w:sz w:val="24"/>
        </w:rPr>
        <w:t xml:space="preserve"> - прокладки урологические для женщин с полным влагопоглощением не менее 450 г;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22-01-22</w:t>
        </w:r>
      </w:hyperlink>
      <w:r>
        <w:rPr>
          <w:sz w:val="24"/>
        </w:rPr>
        <w:t xml:space="preserve"> - прокладки урологические для женщин с полным влагопоглощением не менее 750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Медицинскими показаниями для обеспечения прокладками урологическими инвалидов, детей-инвалидов являются стойкие выраженные нарушения мочевыделительной функции вследствие заболеваний, последствий травм, пороков развития центральной, периферической нервной системы; заболеваний, последствий травм, пороков развития мочеполовой системы; при недержании мочи не менее 600 мл в течение 8 часов.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абзацами 3, 5, 6, 7, 8 общих </w:t>
      </w:r>
      <w:hyperlink w:history="0" r:id="rId1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разъяснений</w:t>
        </w:r>
      </w:hyperlink>
      <w:r>
        <w:rPr>
          <w:sz w:val="24"/>
        </w:rPr>
        <w:t xml:space="preserve"> к разделу 22 Перечня "абсорбирующее белье, подгузники" при назначении подгузников для детей весом от 30 кг и выше назначаются подгузники под номерами с </w:t>
      </w:r>
      <w:hyperlink w:history="0" r:id="rId1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22-01-04</w:t>
        </w:r>
      </w:hyperlink>
      <w:r>
        <w:rPr>
          <w:sz w:val="24"/>
        </w:rPr>
        <w:t xml:space="preserve"> по </w:t>
      </w:r>
      <w:hyperlink w:history="0" r:id="rId1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22-01-13</w:t>
        </w:r>
      </w:hyperlink>
      <w:r>
        <w:rPr>
          <w:sz w:val="24"/>
        </w:rPr>
        <w:t xml:space="preserve"> с учетом объема талии, бедер, а также прокладки урологические.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Назначение абсорбирующего белья (впитывающие простыни (пеленки), подгузников для детей и прокладок урологических возможно в сочетании (например, впитывающая простынь (пеленка), подгузник и прокладка урологическая), либо только одно наименование (например, либо впитывающие простыни (пеленки), либо подгузники, либо прокладки урологические).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абсорбирующего белья, подгузников для детей весом свыше 30 кг под номерами с </w:t>
      </w:r>
      <w:hyperlink w:history="0" r:id="rId16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22-01-01</w:t>
        </w:r>
      </w:hyperlink>
      <w:r>
        <w:rPr>
          <w:sz w:val="24"/>
        </w:rPr>
        <w:t xml:space="preserve"> по </w:t>
      </w:r>
      <w:hyperlink w:history="0" r:id="rId17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22-01-13</w:t>
        </w:r>
      </w:hyperlink>
      <w:r>
        <w:rPr>
          <w:sz w:val="24"/>
        </w:rPr>
        <w:t xml:space="preserve">, с </w:t>
      </w:r>
      <w:hyperlink w:history="0" r:id="rId18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22-01-19</w:t>
        </w:r>
      </w:hyperlink>
      <w:r>
        <w:rPr>
          <w:sz w:val="24"/>
        </w:rPr>
        <w:t xml:space="preserve"> по </w:t>
      </w:r>
      <w:hyperlink w:history="0" r:id="rId19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22-01-22</w:t>
        </w:r>
      </w:hyperlink>
      <w:r>
        <w:rPr>
          <w:sz w:val="24"/>
        </w:rPr>
        <w:t xml:space="preserve"> суммарное суточное количество впитывающих простыней (пеленок), подгузников и урологических прокладок определяется в зависимости от возраста.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назначении абсорбирующего белья, подгузников для взрослых под номерами с </w:t>
      </w:r>
      <w:hyperlink w:history="0" r:id="rId2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22-01-01</w:t>
        </w:r>
      </w:hyperlink>
      <w:r>
        <w:rPr>
          <w:sz w:val="24"/>
        </w:rPr>
        <w:t xml:space="preserve"> по </w:t>
      </w:r>
      <w:hyperlink w:history="0" r:id="rId21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22-01-13</w:t>
        </w:r>
      </w:hyperlink>
      <w:r>
        <w:rPr>
          <w:sz w:val="24"/>
        </w:rPr>
        <w:t xml:space="preserve">, с </w:t>
      </w:r>
      <w:hyperlink w:history="0" r:id="rId2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22-01-19</w:t>
        </w:r>
      </w:hyperlink>
      <w:r>
        <w:rPr>
          <w:sz w:val="24"/>
        </w:rPr>
        <w:t xml:space="preserve"> по </w:t>
      </w:r>
      <w:hyperlink w:history="0" r:id="rId23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22-01-22</w:t>
        </w:r>
      </w:hyperlink>
      <w:r>
        <w:rPr>
          <w:sz w:val="24"/>
        </w:rPr>
        <w:t xml:space="preserve"> с учетом наличия медицинских показаний и отсутствия медицинских противопоказаний, количество абсорбирующего белья, подгузников и прокладок урологических определяется в зависимости от степени выраженности нарушений пищеварительной системы и (или) мочевыделительной функции: не более 8 часов (не более 3 изделий в сутки) при выраженных нарушениях пищеварительной системы и (или) мочевыделительной функции, не более 6 часов (не более 4 изделий в сутки) при значительно выраженных нарушениях мочевыделительной функции, при синдроме полиурии - не более 5 часов (не более 5 изделий в сутки).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определении нуждаемости в прокладках урологических под номерами с </w:t>
      </w:r>
      <w:hyperlink w:history="0" r:id="rId24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22-01-19</w:t>
        </w:r>
      </w:hyperlink>
      <w:r>
        <w:rPr>
          <w:sz w:val="24"/>
        </w:rPr>
        <w:t xml:space="preserve"> по </w:t>
      </w:r>
      <w:hyperlink w:history="0" r:id="rId25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22-01-22</w:t>
        </w:r>
      </w:hyperlink>
      <w:r>
        <w:rPr>
          <w:sz w:val="24"/>
        </w:rPr>
        <w:t xml:space="preserve"> инвалидам (детям-инвалидам) с выраженными нарушениями мочевыделительной функции при недержании мочи не менее 600 мл в течение 8 часов прокладки урологические назначаются в количестве не более 3 изделий в сутки, принимая во внимание предпочтения инвалида (ребенка-инвалида), ведение активной повседневной деятельности в учебе, работе, быту для достижения максимально возможной самостоятельности и самореализации.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Учитывая, что медицинские показания для обеспечения инвалидов, детей-инвалидов урологическими прокладками также являются медицинскими показаниями для обеспечения абсорбирующим бельем (пеленками), подгузниками, Федеральное бюро в связи с обращением инвалидов, их законных или уполномоченных представителей, родителей детей-инвалидов и руководителей федеральных учреждений медико-социальной экспертизы, отправило запрос в Министерство труда и социальной защиты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бюро 17 июня 2025 г. были получены соответствующие разъяснения от Минтруда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2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 (далее - Федеральный закон N 181-ФЗ) обеспечение техническими средствами реабилитации (далее - ТСР) осуществляется на основании ИПРА и определяется </w:t>
      </w:r>
      <w:hyperlink w:history="0" r:id="rId27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обеспечения инвалидов ТСР и отдельных категорий граждан из числа ветеранов протезами (кроме зубных протезов), протезно-ортопедическими изделиями, утвержденными постановлением Правительства Российской Федерации от 7 апреля 2008 г. N 240 (далее - Правила N 240). Состав таких средств, выдаваемых бесплатно, регламентирован федеральным </w:t>
      </w:r>
      <w:hyperlink w:history="0" r:id="rId28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 реабилитационных мероприятий, ТСР и услуг, предоставляемых инвалиду, утвержденным распоряжением Правительства Российской Федерации от 30 декабря 2005 г. N 2347-р (далее - Федеральный перечень).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Федеральном </w:t>
      </w:r>
      <w:hyperlink w:history="0" r:id="rId29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указаны абсорбирующее белье, подгузники. Данный тип ТСР соответствует </w:t>
      </w:r>
      <w:hyperlink w:history="0" r:id="rId30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пункту 22</w:t>
        </w:r>
      </w:hyperlink>
      <w:r>
        <w:rPr>
          <w:sz w:val="24"/>
        </w:rPr>
        <w:t xml:space="preserve"> Перечня.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1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пунктом 41</w:t>
        </w:r>
      </w:hyperlink>
      <w:r>
        <w:rPr>
          <w:sz w:val="24"/>
        </w:rPr>
        <w:t xml:space="preserve"> Правил признания лица инвалидом, утвержденных постановлением Правительства Российской Федерации от 5 апреля 2022 г. N 588 (далее - Правила N 588), при необходимости внесения исправлений в ИПРА в связи с изменением персональных, антропометрических данных инвалида (ребенка-инвалида), уточнением характеристик ранее рекомендованных видов реабилитационных и (или) абилитационных мероприятий, ТСР и услуг, а также в целях устранения технических ошибок (описка, опечатка, грамматическая или арифметическая ошибка либо подобная ошибка) инвалиду (ребенку-инвалиду) по его заявлению либо по заявлению его законного или уполномоченного представителя, поданному в установленном </w:t>
      </w:r>
      <w:hyperlink w:history="0" r:id="rId32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Правил порядке, взамен ранее выданной ИПРА составляется новая ИПРА без оформления нового направления на медико-социальную экспертизу.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изменение иных сведений, указанных в ранее выданной ИПРА, не осуществляется.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исходя из законодательства в части обеспечения инвалидов ТСР, федеральные учреждения медико-социальной экспертизы по заявлению гражданина в части уточнения характеристик ранее рекомендованных видов ТСР могут рассмотреть вопрос назначения урологических прокладок лицам, имеющим в ИПРА рекомендации по обеспечению абсорбирующим бельем, подгузниками.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руководителя по качеству</w:t>
      </w:r>
    </w:p>
    <w:p>
      <w:pPr>
        <w:pStyle w:val="0"/>
        <w:jc w:val="right"/>
      </w:pPr>
      <w:r>
        <w:rPr>
          <w:sz w:val="24"/>
        </w:rPr>
        <w:t xml:space="preserve">осуществления медико-социальной экспертизы</w:t>
      </w:r>
    </w:p>
    <w:p>
      <w:pPr>
        <w:pStyle w:val="0"/>
        <w:jc w:val="right"/>
      </w:pPr>
      <w:r>
        <w:rPr>
          <w:sz w:val="24"/>
        </w:rPr>
        <w:t xml:space="preserve">О.Г.СТРУКОВА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ФГБУ ФБ МСЭ Минтруда России от 25.06.2025 N 21082ФБ.77/2025</w:t>
            <w:br/>
            <w:t>"По вопросу внесения изменений в ИПРА"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ФГБУ ФБ МСЭ Минтруда России от 25.06.2025 N 21082ФБ.77/2025 "По вопросу внесения изменений в ИПРА"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5326&amp;date=14.07.2025&amp;dst=100010&amp;field=134&amp;demo=2" TargetMode = "External"/>
	<Relationship Id="rId7" Type="http://schemas.openxmlformats.org/officeDocument/2006/relationships/hyperlink" Target="https://login.consultant.ru/link/?req=doc&amp;base=LAW&amp;n=505404&amp;date=14.07.2025&amp;dst=101190&amp;field=134&amp;demo=2" TargetMode = "External"/>
	<Relationship Id="rId8" Type="http://schemas.openxmlformats.org/officeDocument/2006/relationships/hyperlink" Target="https://login.consultant.ru/link/?req=doc&amp;base=LAW&amp;n=505404&amp;date=14.07.2025&amp;dst=100013&amp;field=134&amp;demo=2" TargetMode = "External"/>
	<Relationship Id="rId9" Type="http://schemas.openxmlformats.org/officeDocument/2006/relationships/hyperlink" Target="https://login.consultant.ru/link/?req=doc&amp;base=LAW&amp;n=505404&amp;date=14.07.2025&amp;dst=2&amp;field=134&amp;demo=2" TargetMode = "External"/>
	<Relationship Id="rId10" Type="http://schemas.openxmlformats.org/officeDocument/2006/relationships/hyperlink" Target="https://login.consultant.ru/link/?req=doc&amp;base=LAW&amp;n=505404&amp;date=14.07.2025&amp;dst=6&amp;field=134&amp;demo=2" TargetMode = "External"/>
	<Relationship Id="rId11" Type="http://schemas.openxmlformats.org/officeDocument/2006/relationships/hyperlink" Target="https://login.consultant.ru/link/?req=doc&amp;base=LAW&amp;n=505404&amp;date=14.07.2025&amp;dst=8&amp;field=134&amp;demo=2" TargetMode = "External"/>
	<Relationship Id="rId12" Type="http://schemas.openxmlformats.org/officeDocument/2006/relationships/hyperlink" Target="https://login.consultant.ru/link/?req=doc&amp;base=LAW&amp;n=505404&amp;date=14.07.2025&amp;dst=10&amp;field=134&amp;demo=2" TargetMode = "External"/>
	<Relationship Id="rId13" Type="http://schemas.openxmlformats.org/officeDocument/2006/relationships/hyperlink" Target="https://login.consultant.ru/link/?req=doc&amp;base=LAW&amp;n=505404&amp;date=14.07.2025&amp;dst=1&amp;field=134&amp;demo=2" TargetMode = "External"/>
	<Relationship Id="rId14" Type="http://schemas.openxmlformats.org/officeDocument/2006/relationships/hyperlink" Target="https://login.consultant.ru/link/?req=doc&amp;base=LAW&amp;n=505404&amp;date=14.07.2025&amp;dst=101204&amp;field=134&amp;demo=2" TargetMode = "External"/>
	<Relationship Id="rId15" Type="http://schemas.openxmlformats.org/officeDocument/2006/relationships/hyperlink" Target="https://login.consultant.ru/link/?req=doc&amp;base=LAW&amp;n=505404&amp;date=14.07.2025&amp;dst=101222&amp;field=134&amp;demo=2" TargetMode = "External"/>
	<Relationship Id="rId16" Type="http://schemas.openxmlformats.org/officeDocument/2006/relationships/hyperlink" Target="https://login.consultant.ru/link/?req=doc&amp;base=LAW&amp;n=505404&amp;date=14.07.2025&amp;dst=101196&amp;field=134&amp;demo=2" TargetMode = "External"/>
	<Relationship Id="rId17" Type="http://schemas.openxmlformats.org/officeDocument/2006/relationships/hyperlink" Target="https://login.consultant.ru/link/?req=doc&amp;base=LAW&amp;n=505404&amp;date=14.07.2025&amp;dst=101222&amp;field=134&amp;demo=2" TargetMode = "External"/>
	<Relationship Id="rId18" Type="http://schemas.openxmlformats.org/officeDocument/2006/relationships/hyperlink" Target="https://login.consultant.ru/link/?req=doc&amp;base=LAW&amp;n=505404&amp;date=14.07.2025&amp;dst=2&amp;field=134&amp;demo=2" TargetMode = "External"/>
	<Relationship Id="rId19" Type="http://schemas.openxmlformats.org/officeDocument/2006/relationships/hyperlink" Target="https://login.consultant.ru/link/?req=doc&amp;base=LAW&amp;n=505404&amp;date=14.07.2025&amp;dst=10&amp;field=134&amp;demo=2" TargetMode = "External"/>
	<Relationship Id="rId20" Type="http://schemas.openxmlformats.org/officeDocument/2006/relationships/hyperlink" Target="https://login.consultant.ru/link/?req=doc&amp;base=LAW&amp;n=505404&amp;date=14.07.2025&amp;dst=101196&amp;field=134&amp;demo=2" TargetMode = "External"/>
	<Relationship Id="rId21" Type="http://schemas.openxmlformats.org/officeDocument/2006/relationships/hyperlink" Target="https://login.consultant.ru/link/?req=doc&amp;base=LAW&amp;n=505404&amp;date=14.07.2025&amp;dst=101222&amp;field=134&amp;demo=2" TargetMode = "External"/>
	<Relationship Id="rId22" Type="http://schemas.openxmlformats.org/officeDocument/2006/relationships/hyperlink" Target="https://login.consultant.ru/link/?req=doc&amp;base=LAW&amp;n=505404&amp;date=14.07.2025&amp;dst=2&amp;field=134&amp;demo=2" TargetMode = "External"/>
	<Relationship Id="rId23" Type="http://schemas.openxmlformats.org/officeDocument/2006/relationships/hyperlink" Target="https://login.consultant.ru/link/?req=doc&amp;base=LAW&amp;n=505404&amp;date=14.07.2025&amp;dst=10&amp;field=134&amp;demo=2" TargetMode = "External"/>
	<Relationship Id="rId24" Type="http://schemas.openxmlformats.org/officeDocument/2006/relationships/hyperlink" Target="https://login.consultant.ru/link/?req=doc&amp;base=LAW&amp;n=505404&amp;date=14.07.2025&amp;dst=2&amp;field=134&amp;demo=2" TargetMode = "External"/>
	<Relationship Id="rId25" Type="http://schemas.openxmlformats.org/officeDocument/2006/relationships/hyperlink" Target="https://login.consultant.ru/link/?req=doc&amp;base=LAW&amp;n=505404&amp;date=14.07.2025&amp;dst=10&amp;field=134&amp;demo=2" TargetMode = "External"/>
	<Relationship Id="rId26" Type="http://schemas.openxmlformats.org/officeDocument/2006/relationships/hyperlink" Target="https://login.consultant.ru/link/?req=doc&amp;base=LAW&amp;n=483022&amp;date=14.07.2025&amp;dst=35&amp;field=134&amp;demo=2" TargetMode = "External"/>
	<Relationship Id="rId27" Type="http://schemas.openxmlformats.org/officeDocument/2006/relationships/hyperlink" Target="https://login.consultant.ru/link/?req=doc&amp;base=LAW&amp;n=500417&amp;date=14.07.2025&amp;dst=100011&amp;field=134&amp;demo=2" TargetMode = "External"/>
	<Relationship Id="rId28" Type="http://schemas.openxmlformats.org/officeDocument/2006/relationships/hyperlink" Target="https://login.consultant.ru/link/?req=doc&amp;base=LAW&amp;n=461822&amp;date=14.07.2025&amp;dst=100007&amp;field=134&amp;demo=2" TargetMode = "External"/>
	<Relationship Id="rId29" Type="http://schemas.openxmlformats.org/officeDocument/2006/relationships/hyperlink" Target="https://login.consultant.ru/link/?req=doc&amp;base=LAW&amp;n=461822&amp;date=14.07.2025&amp;dst=100007&amp;field=134&amp;demo=2" TargetMode = "External"/>
	<Relationship Id="rId30" Type="http://schemas.openxmlformats.org/officeDocument/2006/relationships/hyperlink" Target="https://login.consultant.ru/link/?req=doc&amp;base=LAW&amp;n=505404&amp;date=14.07.2025&amp;dst=101190&amp;field=134&amp;demo=2" TargetMode = "External"/>
	<Relationship Id="rId31" Type="http://schemas.openxmlformats.org/officeDocument/2006/relationships/hyperlink" Target="https://login.consultant.ru/link/?req=doc&amp;base=LAW&amp;n=484539&amp;date=14.07.2025&amp;dst=53&amp;field=134&amp;demo=2" TargetMode = "External"/>
	<Relationship Id="rId32" Type="http://schemas.openxmlformats.org/officeDocument/2006/relationships/hyperlink" Target="https://login.consultant.ru/link/?req=doc&amp;base=LAW&amp;n=484539&amp;date=14.07.2025&amp;dst=10008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ФГБУ ФБ МСЭ Минтруда России от 25.06.2025 N 21082ФБ.77/2025
"По вопросу внесения изменений в ИПРА"</dc:title>
  <dcterms:created xsi:type="dcterms:W3CDTF">2025-07-14T13:10:29Z</dcterms:created>
</cp:coreProperties>
</file>