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18.06.2025 N 381н</w:t>
              <w:br/>
              <w:t xml:space="preserve">"Об утверждении Стандарта оказания услуги по слухопротезированию инвалидов, получивших травму, ранение, контузию, увечье в связи с боевыми действиями"</w:t>
              <w:br/>
              <w:t xml:space="preserve">(Зарегистрировано в Минюсте России 15.07.2025 N 82916)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15 июля 2025 г. N 82916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июня 2025 г. N 381н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СЛУХОПРОТЕЗИРОВАНИЮ ИНВАЛИДОВ,</w:t>
      </w:r>
    </w:p>
    <w:p>
      <w:pPr>
        <w:pStyle w:val="2"/>
        <w:jc w:val="center"/>
      </w:pPr>
      <w:r>
        <w:rPr>
          <w:sz w:val="24"/>
        </w:rPr>
        <w:t xml:space="preserve">ПОЛУЧИВШИХ ТРАВМУ, РАНЕНИЕ, КОНТУЗИЮ, УВЕЧЬЕ</w:t>
      </w:r>
    </w:p>
    <w:p>
      <w:pPr>
        <w:pStyle w:val="2"/>
        <w:jc w:val="center"/>
      </w:pPr>
      <w:r>
        <w:rPr>
          <w:sz w:val="24"/>
        </w:rPr>
        <w:t xml:space="preserve">В СВЯЗИ 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0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слухопротезированию инвалидов, получивших травму, ранение, контузию, увечье в связи с боевыми действиями.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июня 2025 г. N 381н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ОКАЗАНИЯ УСЛУГИ ПО СЛУХОПРОТЕЗИРОВАНИЮ ИНВАЛИДОВ,</w:t>
      </w:r>
    </w:p>
    <w:p>
      <w:pPr>
        <w:pStyle w:val="2"/>
        <w:jc w:val="center"/>
      </w:pPr>
      <w:r>
        <w:rPr>
          <w:sz w:val="24"/>
        </w:rPr>
        <w:t xml:space="preserve">ПОЛУЧИВШИХ ТРАВМУ, РАНЕНИЕ, КОНТУЗИЮ, УВЕЧЬЕ</w:t>
      </w:r>
    </w:p>
    <w:p>
      <w:pPr>
        <w:pStyle w:val="2"/>
        <w:jc w:val="center"/>
      </w:pPr>
      <w:r>
        <w:rPr>
          <w:sz w:val="24"/>
        </w:rPr>
        <w:t xml:space="preserve">В СВЯЗИ 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слухопротезированию инвалидов, получивших травму, ранение, контузию, увечье в связи с боевыми действиями (далее соответственно - стандарт, услуга, инвалид) определяет основные требования к содержанию, объему, периодичности и качеству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1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изделиями";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здрава России от 12.11.2012 N 901н (ред. от 21.02.2020) &quot;Об утверждении Порядка оказания медицинской помощи населению по профилю &quot;травматология и ортопедия&quot; (Зарегистрировано в Минюсте России 25.12.2012 N 2637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12 ноября 2012 г. N 901н "Об утверждении Порядка оказания медицинской помощи населению по профилю "травматология и ортопедия" (зарегистрирован Министерством юстиции Российской Федерации 25 декабря 2012 г., регистрационный N 26374)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риказ Минздрава России от 15.11.2012 N 922н (ред. от 21.02.2020) &quot;Об утверждении Порядка оказания медицинской помощи взрослому населению по профилю &quot;хирургия&quot; (Зарегистрировано в Минюсте России 17.04.2013 N 2816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922н "Об утверждении Порядка оказания медицинской помощи взрослому населению по профилю "хирургия" (зарегистрирован Министерством юстиции Российской Федерации 17 апреля 2013 г., регистрационный N 28161)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Минздрава России от 15.11.2012 N 923н &quot;Об утверждении Порядка оказания медицинской помощи взрослому населению по профилю &quot;терапия&quot; (Зарегистрировано в Минюсте России 29.12.2012 N 2648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года N 923н "Об утверждении Порядка оказания медицинской помощи взрослому населению по профилю "терапия" (зарегистрирован Министерством юстиции Российской Федерации 29 декабря 2012 г., регистрационный N 26482);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Минздрава России от 15.11.2012 N 926н (ред. от 10.03.2025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Российской Федерации 23 января 2013 г., регистрационный N 26692) с изменениями, внесенными приказом Министерства здравоохранения Российской Федерации от 10 марта 2025 г. N 102н (зарегистрирован Министерством юстиции Российской Федерации 8 апреля 2025 г., регистрационный N 81778);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 и от 7 июля 2020 г. N 686н (зарегистрирован Министерством юстиции Российской Федерации 10 августа 2020 г., регистрационный N 59225) (далее - приказ Минздрава России N 4н);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здрава России от 09.04.2015 N 178н &quot;Об утверждении Порядка оказания медицинской помощи населению по профилю &quot;сурдология-оториноларингология&quot; (Зарегистрировано в Минюсте России 17.04.2015 N 3688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9 апреля 2015 г. N 178н "Об утверждении Порядка оказания медицинской помощи населению по профилю "сурдология-оториноларингология" (зарегистрирован Министерством юстиции Российской Федерации 17 апреля 2015 г., регистрационный N 36881);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здрава России от 10.02.2016 N 83н &quot;Об утверждении Квалификационных требований к медицинским и фармацевтическим работникам со средним медицинским и фармацевтическим образованием&quot; (Зарегистрировано в Минюсте России 09.03.2016 N 4133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10 февраля 2016 г. N 83н "Об утверждении квалификационных требований к медицинским и фармацевтическим работникам со средним медицинским и фармацевтическим образованием (зарегистрирован Министерством юстиции Российской Федерации 9 марта 2016 г., регистрационный N 41337);</w:t>
      </w:r>
    </w:p>
    <w:p>
      <w:pPr>
        <w:pStyle w:val="0"/>
        <w:spacing w:before="240" w:line-rule="auto"/>
        <w:ind w:firstLine="540"/>
        <w:jc w:val="both"/>
      </w:pPr>
      <w:hyperlink w:history="0" r:id="rId21" w:tooltip="Приказ Минтруда России от 10.05.2016 N 226н (ред. от 20.11.2023) &quot;Об утверждении профессионального стандарта &quot;Специалист в области слухопротезирования (сурдоакустик)&quot; (Зарегистрировано в Минюсте России 30.05.2016 N 4233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мая 2016 г. N 226н "Об утверждении профессионального стандарта "Специалист в области слухопротезирования (сурдоакустик)" (зарегистрирован Министерством юстиции Российской Федерации 30 мая 2016 г., регистрационный N 42332);</w:t>
      </w:r>
    </w:p>
    <w:p>
      <w:pPr>
        <w:pStyle w:val="0"/>
        <w:spacing w:before="240" w:line-rule="auto"/>
        <w:ind w:firstLine="540"/>
        <w:jc w:val="both"/>
      </w:pPr>
      <w:hyperlink w:history="0" r:id="rId22" w:tooltip="Приказ Минтруда России от 13.02.2018 N 86н (ред. от 10.07.2024) &quot;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&quot; (Зарегистрировано в Минюсте России 14.03.2018 N 5033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(зарегистрирован Министерством юстиции Российской Федерации 14 марта 2018 г., регистрационный N 50338) с изменениями, внесенными приказами Министерства труда и социальной защиты Российской Федерации от 6 мая 2019 г. N 307н (зарегистрирован Министерством юстиции Российской Федерации 31 мая 2019 г., регистрационный N 54799), от 5 марта 2021 г. N 108н (зарегистрирован Министерством юстиции Российской Федерации 8 апреля 2021 г., регистрационный N 63023),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10 июля 2024 г. N 346н (зарегистрирован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-rule="auto"/>
        <w:ind w:firstLine="540"/>
        <w:jc w:val="both"/>
      </w:pPr>
      <w:hyperlink w:history="0" r:id="rId23" w:tooltip="Приказ Минтруда России от 23.07.2019 N 521н (ред. от 05.03.2021) &quot;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23 июля 2019 г. N 521н "Об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протезно-ортопедическим изделиям, а также подлежащих замене по истечении установленного срока пользования, если необходимость замены подтверждена заключением медико-технической экспертизы" (зарегистрирован Министерством юстиции Российской Федерации 15 августа 2019 г., регистрационный N 55638) с изменениями, внесенными приказами Министерства труда и социальной защиты Российской Федерации от 29 апреля 2020 г. N 227н (зарегистрирован Министерством юстиции Российской Федерации 2 июня 2020 г., регистрационный N 58538) и от 5 марта 2021 г. N 108н (зарегистрирован Министерством юстиции Российской Федерации 8 апреля 2021 г., регистрационный N 63023);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здрава России от 31.07.2020 N 788н (ред. от 07.11.2022) &quot;Об утверждении Порядка организации медицинской реабилитации взрослых&quot; (Зарегистрировано в Минюсте России 25.09.2020 N 6003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31 июля 2020 г. N 788н "Об утверждении Порядка организации медицинской реабилитации взрослых" (зарегистрирован Министерством юстиции Российской Федерации 25 сентября 2020 г., регистрационный N 60039) с изменениями, внесенными приказом Министерства здравоохранения Российской Федерации от 7 ноября 2022 г. N 727н (зарегистрирован Министерством юстиции Российской Федерации 9 декабря 2022 г., регистрационный N 71434);</w:t>
      </w:r>
    </w:p>
    <w:p>
      <w:pPr>
        <w:pStyle w:val="0"/>
        <w:spacing w:before="240" w:line-rule="auto"/>
        <w:ind w:firstLine="540"/>
        <w:jc w:val="both"/>
      </w:pPr>
      <w:hyperlink w:history="0" r:id="rId25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63022),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г.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от 10 апреля 2025 г. N 199н (зарегистрирован Министерством юстиции Российской Федерации 14 мая 2025 г., регистрационный N 82167);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здрава России от 14.10.2022 N 668н &quot;Об утверждении Порядка оказания медицинской помощи при психических расстройствах и расстройствах поведения&quot; (Зарегистрировано в Минюсте России 14.11.2022 N 70940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14 октября 2022 г. N 668н "Об утверждении Порядка оказания медицинской помощи при психических расстройствах и расстройствах поведения" (зарегистрирован Министерством юстиции Российской Федерации 14 ноября 2022 г., регистрационный N 70940);</w:t>
      </w:r>
    </w:p>
    <w:p>
      <w:pPr>
        <w:pStyle w:val="0"/>
        <w:spacing w:before="240" w:line-rule="auto"/>
        <w:ind w:firstLine="540"/>
        <w:jc w:val="both"/>
      </w:pPr>
      <w:hyperlink w:history="0" r:id="rId27" w:tooltip="Приказ Минтруда России от 28.04.2023 N 429н &quot;Об утверждении требований к социальным координаторам, включая требования к их подготовке, и правила их деятельности&quot; (Зарегистрировано в Минюсте России 09.06.2023 N 73795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28 апреля 2023 г. N 429н "Об утверждении требований к социальным координаторам, включая требования к их подготовке, и правила их деятельности" (зарегистрирован Министерством юстиции Российской Федерации 9 июня 2023 г., регистрационный N 73795);</w:t>
      </w:r>
    </w:p>
    <w:p>
      <w:pPr>
        <w:pStyle w:val="0"/>
        <w:spacing w:before="240" w:line-rule="auto"/>
        <w:ind w:firstLine="540"/>
        <w:jc w:val="both"/>
      </w:pPr>
      <w:hyperlink w:history="0" r:id="rId28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205н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 июня 2023 г., регистрационный N 73664) с изменениями, внесенными приказом Министерства здравоохранения Российской Федерации от 4 декабря 2023 г. N 649н (зарегистрирован Министерством юстиции Российской Федерации 21 декабря 2023 г., регистрационный N 76537), срок действия - до 1 сентября 2025 г. (далее - приказ Минздрава России N 205н);</w:t>
      </w:r>
    </w:p>
    <w:p>
      <w:pPr>
        <w:pStyle w:val="0"/>
        <w:spacing w:before="240" w:line-rule="auto"/>
        <w:ind w:firstLine="540"/>
        <w:jc w:val="both"/>
      </w:pPr>
      <w:hyperlink w:history="0" r:id="rId29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 с изменениями, внесенными приказом Министерства здравоохранения Российской Федерации от 19 февраля 2024 г. N 72н (зарегистрирован Министерством юстиции Российской Федерации 25 марта 2024 г., регистрационный N 77616);</w:t>
      </w:r>
    </w:p>
    <w:p>
      <w:pPr>
        <w:pStyle w:val="0"/>
        <w:spacing w:before="240" w:line-rule="auto"/>
        <w:ind w:firstLine="540"/>
        <w:jc w:val="both"/>
      </w:pPr>
      <w:hyperlink w:history="0" r:id="rId30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2025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31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32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Федерации" (зарегистрирован Министерством юстиции Российской Федерации 4 февраля 2025 г., регистрационный N 81142);</w:t>
      </w:r>
    </w:p>
    <w:p>
      <w:pPr>
        <w:pStyle w:val="0"/>
        <w:spacing w:before="240" w:line-rule="auto"/>
        <w:ind w:firstLine="540"/>
        <w:jc w:val="both"/>
      </w:pPr>
      <w:hyperlink w:history="0" r:id="rId3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декабря 2024 г. N 687н "Об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инвалидов" (зарегистрирован Министерством юстиции Российской Федерации 12 марта 2025 г., регистрационный N 81522),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Стандарт распространяется на поставщиков услуг, предоставляющих услугу по слухопротезированию инвалидов, получивших травму, ранение, контузию, увечье в связи с боевыми действиями, в рамках реализации мероприятий по основному направлению комплексной реабилитации и абилитации "Протезно-ортопедическая помощь инвалидам" (слухопротезирование).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Термины и определения &lt;1&gt;: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4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Федеральный закон N 181-ФЗ).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протезно-ортопедическая помощь инвалидам - комплекс мероприятий и услуг, включая протезирование инвалидов, ортезирование инвалидов, слухопротезирование инвалидов, направленных на достижение ими возможно более полной компенсации стойких ограничений жизнедеятельности, обусловленных заболеваниями, в том числе специальных мероприятий по подготовке к протезированию, ортезированию, производству (изготовлению), подгонке (настройке) протезно-ортопедических изделий, обучение инвалидов безопасному и эффективному пользованию протезно-ортопедическими изделиями, предоставление инвалидам протезно-ортопедических изделий, а также техническое обслуживание, ремонт, замена таких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слухопротезирование инвалидов - комплекс мероприятий и услуг, направленных на возможно более полную компенсацию нарушенной функции слуха посредством подбора и настройки технического средства реабилитации, проведения слухоречевой реабилитации инвалидов или 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валидация - верификация, при которой установленные требования связаны с предполагаемым использованием. Валидация включает в себя полную оценку удовлетворенности пациента подобранным и настроенным слуховым аппаратом посредством инструментальных (речевая аудиометрия) или не инструментальных (опрос пациента) методов;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верификация - представление объективных свидетельств того, что объект полностью удовлетворяет установленным требованиям. Верификация включает в себя оценку физических, электроакустических и психоакустических аспектов, связанных с применением слуховых аппаратов, посредством подачи сигналов на слуховой аппарат в испытательной камере или на реальном ухе человека или измерением функционального усиления слухового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 по слуху - лицо, имеющее стойкое нарушение слуха и признанное инвалидом в порядке, установленном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- реабилитационное мероприятие, заключающееся в проработке индивидуальных вопросов, касающихся реабилитации и абилитации инвалида в рамках различных реабилитационных направлений (социально-средовая, социально-педагогическая, социально-психологическая, социально-бытовая реабилитация и абилитация, слухопротезирование), постановке конкретных целей, запланированных в рамках проведения реабилитационного курса, обсуждении с инвалидом (законным (уполномоченным) представителем) ожидаемых результатов, дальнейших реабилитационных планов и перспектив в целях социальной адаптации и интеграции инвалида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нарушение слуха - полное (глухота) или частичное (тугоухость) снижение способности обнаруживать и понимать звуки и речь;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составляющие услугу по слухопротезированию, и наличие которых у поставщика услуги по слухопротезированию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услуги по слухопротезированию - инвалид, имеющий в индивидуальной программе реабилитации и абилитации инвалида заключение о нуждаемости в проведении мероприятий по направлению комплексной реабилитации и абилитации "Протезно-ортопедическая помощь инвалидам" (слухопротезирование);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 услуги по слухопротезированию - организация, независимо от организационно-правовой формы, формы собственности и ведомственной принадлежности, осуществляющая деятельность по отдельному основному направлению комплексной реабилитации и абилитации инвалидов "Протезно-ортопедическая помощь инвалидам" (слухопротезирование) в соответствии со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реабилитация слуха - системные действия по улучшению слуховых возможностей и коммуникационных навыков инвалида, использующего слухопротезный комплект, посредством оказания консультаций, инструктирования, обучения и тренировки;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устройства (вспомогательные средства, в том числе приборы, аппаратура, приспособления), используемые при выполнении действий при оказании услуги по слухопротезированию;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слухопротезирования - степень компенсации нарушенной функции слуха, обеспечивающая формирование или восстановление способности к общению и социальной адаптации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составляющие услугу по слухопротезированию, и способствовать повышению качества предоставления услуги, но их наличие у поставщика услуги по слухопротезированию не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 - способность человека обнаруживать, различать, идентифицировать и осознавать звуковую информацию;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слуховой аппарат - электронный прибор, предназначенный для коррекции нарушений слуха и эффективного использования звуковой информации посредством звукоусиления по воздушному или костному звукопроведению с применением различных акустических технологий;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слухопротезирование - коррекция нарушенной слуховой функции с помощью слуховых аппаратов. Слухопротезирование является этапом медицинской помощи по профилю "сурдология-оториноларингология";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слухопротезный комплект - индивидуально подбираемый набор, включающий в себя один или два слуховых аппарата, ушные вкладыши и другие аксессуары, такие как пульт дистанционного управления или средства коммуникации;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 по слухопротезированию - физическое лицо, имеющее высшее профессиональное образование, аккредитацию и удостоверение по специальности "сурдология-оториноларингология" и обладающее необходимой квалификацией для оценки слуховой функции, подбора, настройки и предоставления в пользование слухопротезного комплекта или физическое лицо, прошедшее соответствующий курс обучения по специальности (специалист в области слухопротезирования (сурдоакустик) и обладающее необходимой квалификацией для подбора, настройки и предоставления в пользование слухопротезного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по слухопротезированию - системные действия по индивидуализации и оптимизации слухопротезного комплекта в целях компенсации тугоухости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ушной вкладыш - устройство, соединяющее акустический выход слухового аппарата с наружным слуховым проходом и предназначенное для подведения усиленных акустических сигналов;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целевая реабилитационная группа.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Наименование ЦРГ инвалидов, в отношении которых применяется стандарт:</w:t>
      </w:r>
    </w:p>
    <w:bookmarkStart w:id="97" w:name="P97"/>
    <w:bookmarkEnd w:id="97"/>
    <w:p>
      <w:pPr>
        <w:pStyle w:val="0"/>
        <w:spacing w:before="240" w:line-rule="auto"/>
        <w:jc w:val="both"/>
      </w:pPr>
      <w:r>
        <w:rPr>
          <w:sz w:val="24"/>
        </w:rPr>
        <w:t xml:space="preserve">ЦРГ 12 - инвалиды, получившие ранение (травму, контузию, увечье) или заболевание в связи с участием в боевых действиях;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слуха;</w:t>
      </w:r>
    </w:p>
    <w:bookmarkStart w:id="100" w:name="P100"/>
    <w:bookmarkEnd w:id="100"/>
    <w:p>
      <w:pPr>
        <w:pStyle w:val="0"/>
        <w:spacing w:before="240" w:line-rule="auto"/>
        <w:jc w:val="both"/>
      </w:pPr>
      <w:r>
        <w:rPr>
          <w:sz w:val="24"/>
        </w:rPr>
        <w:t xml:space="preserve">ЦРГ 13 - инвалиды, получившие травму, ранение, контузию, увечье в связи с боевыми действиями;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13.9 - инвалиды, получившие травму, ранение, контузию, увечье в связи с боевыми действиями, вследствие поражения лицевого отдела черепа, в том числе с одновременным нарушением функций жевания, глотания, голосообразования, зрения или слуха;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13.11 - инвалиды, получившие травму, ранение, контузию, увечье в связи с боевыми действиями, вследствие поражения органа слуха.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Форма оказания услуги полустационарная.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Полустационарная форма предусматривает пребывание инвалида в определенное время суток в условиях дневного стационара в случае возможности посещения инвалидом поставщика услуги по слухопротезированию с учетом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При реализации стандарта медицинская помощь может оказываться амбулаторно &lt;2&gt; (в условиях, не предусматривающих круглосуточного медицинского наблюдения и лечения).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5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Статья 32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Услуга оказывается инвалидам, имеющим в ИПРА заключение о нуждаемости в проведении мероприятий по слухопротезированию.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Поставщик услуги по слухопротезированию осуществляет медицинскую деятельность на основании лицензии на осуществление медицинской деятельности, выданной в порядке, установленном законодательством Российской Федерации о лицензировании отдельных видов деятельности, в отношении отдельных видов работ (услуг), составляющих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предоставлении услуги должны быть соблюдены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инвалида, с учетом общей цели реабилитации,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на каждого инвалида документации при оказании услуг по отдельным основным направлениям комплексной реабилитации и абилитации инвалидов &lt;3&gt; и иной документации, включая медицинскую (заказа, учетной и отчетной документации) (далее - документация по слухопротезированию).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4</w:t>
        </w:r>
      </w:hyperlink>
      <w:r>
        <w:rPr>
          <w:sz w:val="24"/>
        </w:rPr>
        <w:t xml:space="preserve"> Федерального закона N 181-ФЗ.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Услуга может оказываться как изолированно, так и в комплексе с реабилитационными услугами других основных направлений комплексной реабилитации и абилитации, в которых нуждается инвалид.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Услуга оказывается поставщиком услуги по слухопротезированию при наличии: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в соответствии с которыми организация осуществляет свою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здания, прилегающей территории, помещений поставщика услуги по слухопротезированию в соответствии с действующими требованиями доступности зданий и сооружений для маломобильных групп населения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7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2015 г.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 (зарегистрирован Министерством юстиции Российской Федерации 17 сентября 2015 г., регистрационный N 38897),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 (далее - приказ Минтруда России N 527н).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помещений минимальной площадью каждое - 16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, минимальным объемом - 40 м</w:t>
      </w:r>
      <w:r>
        <w:rPr>
          <w:sz w:val="24"/>
          <w:vertAlign w:val="superscript"/>
        </w:rPr>
        <w:t xml:space="preserve">3</w:t>
      </w:r>
      <w:r>
        <w:rPr>
          <w:sz w:val="24"/>
        </w:rPr>
        <w:t xml:space="preserve"> (для обеспечения приема инвалида, инструментальной оценки слуха, подготовки слуховых аппаратов и их технического обслуживания)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В соответствии с </w:t>
      </w:r>
      <w:hyperlink w:history="0" r:id="rId38" w:tooltip="&quot;ГОСТ Р ИСО 21388-2023. Национальный стандарт Российской Федерации. Акустика. Менеджмент услуг по слухопротезированию&quot; (утв. и введен в действие Приказом Росстандарта от 10.04.2023 N 209-ст) {КонсультантПлюс}">
        <w:r>
          <w:rPr>
            <w:sz w:val="24"/>
            <w:color w:val="0000ff"/>
          </w:rPr>
          <w:t xml:space="preserve">разделом 4</w:t>
        </w:r>
      </w:hyperlink>
      <w:r>
        <w:rPr>
          <w:sz w:val="24"/>
        </w:rPr>
        <w:t xml:space="preserve"> ГОСТ Р ИСО 21388-2023 "Национальный стандарт Российской Федерации. Акустика. Менеджмент услуг по слухопротезированию", введенного в действие </w:t>
      </w:r>
      <w:hyperlink w:history="0" r:id="rId39" w:tooltip="Приказ Росстандарта от 10.04.2023 N 209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10 апреля 2023 г. N 209-ст (М.: Российский институт стандартизации, 2023).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специального оснащения поставщика услуги по слухопротезированию (оборудование, приборы, аппаратура, измерительный инструмент), применяемого в процессе слухопротезирования;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укомплектованности поставщика услуги по слухопротезированию специалистами соответствующей квалификации для осуществления деятельности по слухопротезированию;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сопровождения инвалида законным (уполномоченным) представителем, социальным координатором (при необходимости).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Поставщик услуги по слухопротезированию должен иметь: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обязательных специалистов - в штате организации; рекомендуемых специалистов, в случае их отсутствия в штате организации возможно привлекать на основании гражданско-правового договора, или на основании договора оказания услуг с юридическим лицом, имеющим в штате таких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на праве собственности или ином законном основании, необходимых для оказания услуги и отвечающих установленным санитарным правилам (</w:t>
      </w:r>
      <w:hyperlink w:history="0" r:id="rId40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СП 2.1.3678-20</w:t>
        </w:r>
      </w:hyperlink>
      <w:r>
        <w:rPr>
          <w:sz w:val="24"/>
        </w:rPr>
        <w:t xml:space="preserve">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 декабря 2020 N 44).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Поставщик услуги должен обеспечить в соответствии с установленными требованиями &lt;6&gt; доступность зданий, строений, сооружений и (или) помещений, а также прилегающей территории для инвалидов и других маломобильных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Требования обеспечения доступности установлены </w:t>
      </w:r>
      <w:hyperlink w:history="0" r:id="rId41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N 527н.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Поставщик услуги должен обеспечить 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 в соответствии с требованиями Федерального </w:t>
      </w:r>
      <w:hyperlink w:history="0" r:id="rId42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181-ФЗ на территорию и объекты поставщика услуги по протезированию,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услуг по протезированию (при необходимости и согласии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Требования к профессиональной подготовке и квалификации персонала поставщика услуги по слухопротезированию по профессиям, должностям, специальностям определяются на основании Единого квалификационного справочника должностей руководителей, специалистов и служащих, </w:t>
      </w:r>
      <w:hyperlink w:history="0" r:id="rId43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здравоохранения", утвержденного приказом Министерства здравоохранения и социального развития Российской Федерации от 23 июля 2010 г. N 541н (зарегистрирован Министерством юстиции Российской Федерации 25 августа 2010 г., регистрационный N 18247)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 (ЕКС), Общероссийского </w:t>
      </w:r>
      <w:hyperlink w:history="0" r:id="rId44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профессий рабочих, должностей служащих и тарифных разрядов ОК 016-94, введенного в действие </w:t>
      </w:r>
      <w:hyperlink w:history="0" r:id="rId45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Госстандарта России от 26 декабря 1994 г. N 367, </w:t>
      </w:r>
      <w:hyperlink w:history="0" r:id="rId46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Минздрава России N 205н.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41"/>
        <w:gridCol w:w="7030"/>
      </w:tblGrid>
      <w:tr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привлекаемые к реализации услуг</w:t>
            </w:r>
          </w:p>
        </w:tc>
        <w:tc>
          <w:tcPr>
            <w:tcW w:w="7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166" w:tooltip="&lt;7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</w:tr>
      <w:tr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7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Обязательные специалисты</w:t>
            </w:r>
          </w:p>
        </w:tc>
        <w:tc>
          <w:tcPr>
            <w:tcW w:w="7030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7030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703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</w:t>
            </w:r>
          </w:p>
        </w:tc>
      </w:tr>
      <w:tr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 специалисты</w:t>
            </w:r>
          </w:p>
        </w:tc>
        <w:tc>
          <w:tcPr>
            <w:tcW w:w="7030" w:type="dxa"/>
          </w:tcPr>
          <w:p>
            <w:pPr>
              <w:pStyle w:val="0"/>
            </w:pPr>
            <w:r>
              <w:rPr>
                <w:sz w:val="24"/>
              </w:rPr>
              <w:t xml:space="preserve">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703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Инженер по ремонту сурдоакустической техники</w:t>
            </w:r>
          </w:p>
        </w:tc>
      </w:tr>
      <w:tr>
        <w:tc>
          <w:tcPr>
            <w:vMerge w:val="continue"/>
          </w:tcPr>
          <w:p/>
        </w:tc>
        <w:tc>
          <w:tcPr>
            <w:tcW w:w="703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vMerge w:val="continue"/>
          </w:tcPr>
          <w:p/>
        </w:tc>
        <w:tc>
          <w:tcPr>
            <w:tcW w:w="703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Медицинский логопед (логопед)</w:t>
            </w:r>
          </w:p>
        </w:tc>
      </w:tr>
      <w:tr>
        <w:tc>
          <w:tcPr>
            <w:vMerge w:val="continue"/>
          </w:tcPr>
          <w:p/>
        </w:tc>
        <w:tc>
          <w:tcPr>
            <w:tcW w:w="7030" w:type="dxa"/>
          </w:tcPr>
          <w:p>
            <w:pPr>
              <w:pStyle w:val="0"/>
            </w:pPr>
            <w:r>
              <w:rPr>
                <w:sz w:val="24"/>
              </w:rPr>
              <w:t xml:space="preserve">Учитель-дефектолог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66" w:name="P166"/>
    <w:bookmarkEnd w:id="1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815"/>
        <w:gridCol w:w="2815"/>
        <w:gridCol w:w="2816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1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gridSpan w:val="2"/>
            <w:tcW w:w="56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8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28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8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8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8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временных противопоказаний к использованию слухопротезного комплекта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  <w:t xml:space="preserve">Врач-невролог;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логопед;</w:t>
            </w:r>
          </w:p>
          <w:p>
            <w:pPr>
              <w:pStyle w:val="0"/>
            </w:pPr>
            <w:r>
              <w:rPr>
                <w:sz w:val="24"/>
              </w:rPr>
              <w:t xml:space="preserve">учитель-дефектолог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Настройка слухопротезного комплекта,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(техник);</w:t>
            </w:r>
          </w:p>
          <w:p>
            <w:pPr>
              <w:pStyle w:val="0"/>
            </w:pPr>
            <w:r>
              <w:rPr>
                <w:sz w:val="24"/>
              </w:rPr>
              <w:t xml:space="preserve">инженер по ремонту сурдоакустической техники;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логопед;</w:t>
            </w:r>
          </w:p>
          <w:p>
            <w:pPr>
              <w:pStyle w:val="0"/>
            </w:pPr>
            <w:r>
              <w:rPr>
                <w:sz w:val="24"/>
              </w:rPr>
              <w:t xml:space="preserve">учитель-дефектолог;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использованию слухопротезным комплектом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логопед;</w:t>
            </w:r>
          </w:p>
          <w:p>
            <w:pPr>
              <w:pStyle w:val="0"/>
            </w:pPr>
            <w:r>
              <w:rPr>
                <w:sz w:val="24"/>
              </w:rPr>
              <w:t xml:space="preserve">учитель-дефектолог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слухопротезирования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слуховым аппаратом</w:t>
            </w:r>
          </w:p>
        </w:tc>
        <w:tc>
          <w:tcPr>
            <w:tcW w:w="2815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2816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предусмотренный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098"/>
        <w:gridCol w:w="8617"/>
        <w:gridCol w:w="2324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86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слухового прохода, барабанной перепонки с помощью отоскопа налобного осветителя и ушной воронки (при необходимости эндоскопа или микроскопа);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составление слухового паспорта;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тональной пороговой аудиометрии по воздушной и костной проводимости, в присутствии и в отсутствие маскирующего шума;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регистрации коротколатентных слуховых вызванных потенциалов и ASSR-теста (в сложных диагностических случаях);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отоакустической эмиссии;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речевой аудиометрии в присутствии и в отсутствие шума при надетом и снятом слуховом аппарате в свободном звуковом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тональной пороговой аудиометрии в присутствии и в отсутствие шума при надетом и снятом слуховом аппарате в свободном звуковом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акустической импедансометрии;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уровней звукового дискомфорта и максимального звукового комфорта, определение шкалы восприятия громкости звука;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выявление обстоятельств, требующих медицинского вмешательства или консультаций других специалистов;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сурдопедагогическая диагностика;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психологическая диагностика;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логопедическая диагностика;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консультация врача-невролога;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интерпретация материалов предыдущих и текущего аудиологических обследований.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Объем обследований определяется индивидуально для каждого пациента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модификации подходящих слуховых аппаратов в зависимости от результатов обследования и профиля пациента;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подходящих ушных вкладышей для данной модификации слухового аппарата, выбор параметров индивидуального ушного вкладыша (материал, форма, диаметр вента и звуковода) на основании аудиограммы;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слухового аппарата с использованием программы изготовителя слухового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для подтверждения их функциональности и соответствия нуждам пациента, верификация настроек слухового аппарата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валидация эффективности применения слухопротезного комплекта с использованием соответствующих методов;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интерпретация результатов подбора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слухового прохода, барабанной перепонки с помощью отоскопа налобного осветителя и ушной воронки, удаление серно-эпидермальных масс при их наличии;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анатомических и физиологических особенностей уха инвалида с точки зрения выбора подходящего ушного вкладыша;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слепка наружного уха;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ушного вкладыша из соответствующего материала, форма и акустические характеристики которого соответствуют типу применяемого устройства;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формы ушного вкладыша под ухо инвалида или изготовление ушного вкладыша в промышленных условиях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амбулаторная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Настройка слухопротезного комплекта,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Проверка функционального состояния слуховых аппаратов, очистка слуховых аппаратов и ушных вкладышей при контроле эксплуатации слухового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слуховых аппаратов с использованием программы изготовителя слухового аппарата или внесение изменений в слуховые аппараты по мере адаптации и в процессе эксплуатации, в том числе после замены индивидуальных ушных вкладышей, тонкая настройка слуховых аппаратов;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для подтверждения их функциональности и соответствия нуждам пациента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верификация настроек слухового аппарата с использованием соответствующих методов;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тональной аудиометрии по воздушной проводимости при надетом и снятом слуховом аппарате в свободном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речевой аудиометрии в присутствии и в отсутствие шума при надетом и снятом слуховом аппарате в свободном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составление слухового паспорта при надетом и снятом слуховом аппарате;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опрос и анкетирование для оценки удовлетворенности пациента подобранным и настроенным слуховым комплектом;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интерпретация полученных результатов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амбулаторная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использованию слухопротезного комплекта, аксессуаров и вспомогательных слуховых устройств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по использованию и эксплуатации слухового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размещению на теле человека в зависимости от вида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использованию слуховых аппаратов при речевых нагрузках в различных акустических ситуациях и различных режимах эксплуатации;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принципам гигиенического ухода за наружным слуховым проходом, слуховым аппаратом, ушным вкладышем;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инструктажа по адаптации к слуховому аппарату и развитию слухового восприятия;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по использованию аксессуаров, расширяющих возможности слуховых аппаратов;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по использованию вспомогательных устройств и систем, дополняющих применяемый слуховой аппарат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амбулаторная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слухопротезирования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Сбор социально-психологического анамнеза посредством беседы, опроса, анкетирования (при необходимости с привлечением законного (уполномоченного) представителя);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первичной (входящей) социально-психологической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индивидуально-личностное психологическое консультирование, направленное на проработку и решение обусловленных болезнью и инвалидностью проблем;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практических занятий (психологическая коррекция);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повторной (контрольной) социально-психологической диагностики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амбулаторная, дистанционная с применением информационно-телекоммуникационных технологий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слуховым аппаратом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Динамическое наблюдение (регулярный сбор обратной связи с периодичностью раз в три месяца в первый год обслуживания и раз в полгода в последующие годы использования);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дистанционное с применением информационно-телекоммуникационных технологий по вопросам реабилитации и абилитации, пользования слуховым аппаратом, сервисного обслуживания слухового аппарат, в том числе с применением мобильного приложения или интернет-платформы (при наличии технической возможности), удаленная настройка слухового аппарата со специалистом сервисного обслуживания (при наличии технической возможности), онлайн, сбор и анализ информации о формате пользования протезом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 дистанционная с применением информационно-телекоммуникационных технологий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17. Показатели кратности мероприятий, входящих в состав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2154"/>
        <w:gridCol w:w="737"/>
        <w:gridCol w:w="1531"/>
        <w:gridCol w:w="3005"/>
        <w:gridCol w:w="1644"/>
        <w:gridCol w:w="1531"/>
        <w:gridCol w:w="1644"/>
        <w:gridCol w:w="850"/>
      </w:tblGrid>
      <w:tr>
        <w:tc>
          <w:tcPr>
            <w:gridSpan w:val="9"/>
            <w:tcW w:w="13606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Настройка слухопротезного комплекта или внесение изменений и контроль эксплуатации слухоопротезного комплекта, валидация эффективности применения слухопротезного комплекта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использованию слухопротезного комплекта, аксессуаров и вспомогательных слуховых устройств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слухопротезирования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слуховым аппаратом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1 - 6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7 - 25</w:t>
            </w:r>
          </w:p>
        </w:tc>
      </w:tr>
    </w:tbl>
    <w:p>
      <w:pPr>
        <w:sectPr>
          <w:headerReference w:type="default" r:id="rId47"/>
          <w:headerReference w:type="first" r:id="rId47"/>
          <w:footerReference w:type="default" r:id="rId48"/>
          <w:footerReference w:type="first" r:id="rId48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18. Показатели продолжительности и кратности мероприятий, входящих в состав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1"/>
        <w:gridCol w:w="6690"/>
        <w:gridCol w:w="1814"/>
      </w:tblGrid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6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одного мероприятия, ч</w:t>
            </w:r>
          </w:p>
        </w:tc>
      </w:tr>
      <w:tr>
        <w:tc>
          <w:tcPr>
            <w:tcW w:w="5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69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69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1814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57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69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1814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69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Настройка слухопротезного комплекта или внесение изменений и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69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Обучение использованию слухового комплекта, аксессуаров и вспомогательных слуховых устройств</w:t>
            </w:r>
          </w:p>
        </w:tc>
        <w:tc>
          <w:tcPr>
            <w:tcW w:w="1814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669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слухопротезирования</w:t>
            </w:r>
          </w:p>
        </w:tc>
        <w:tc>
          <w:tcPr>
            <w:tcW w:w="1814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слуховым аппаратом</w:t>
            </w:r>
          </w:p>
        </w:tc>
        <w:tc>
          <w:tcPr>
            <w:tcW w:w="1814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</w:t>
      </w:r>
    </w:p>
    <w:p>
      <w:pPr>
        <w:pStyle w:val="2"/>
        <w:jc w:val="center"/>
      </w:pPr>
      <w:r>
        <w:rPr>
          <w:sz w:val="24"/>
        </w:rPr>
        <w:t xml:space="preserve">быть оснащена реабилитационная организация для оказания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438"/>
        <w:gridCol w:w="3231"/>
        <w:gridCol w:w="1587"/>
        <w:gridCol w:w="1247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групп реабилитационного оборудования</w:t>
            </w:r>
          </w:p>
        </w:tc>
        <w:tc>
          <w:tcPr>
            <w:tcW w:w="32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вспомогательных средств и ТСР </w:t>
            </w:r>
            <w:hyperlink w:history="0" w:anchor="P405" w:tooltip="&lt;8&gt; Наименование и код вида/класса в соответствии с приказом Минздрава России N 4н.">
              <w:r>
                <w:rPr>
                  <w:sz w:val="24"/>
                  <w:color w:val="0000ff"/>
                </w:rPr>
                <w:t xml:space="preserve">&lt;8&gt;</w:t>
              </w:r>
            </w:hyperlink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вида/класса </w:t>
            </w:r>
            <w:hyperlink w:history="0" w:anchor="P405" w:tooltip="&lt;8&gt; Наименование и код вида/класса в соответствии с приказом Минздрава России N 4н.">
              <w:r>
                <w:rPr>
                  <w:sz w:val="24"/>
                  <w:color w:val="0000ff"/>
                </w:rPr>
                <w:t xml:space="preserve">&lt;8&gt;</w:t>
              </w:r>
            </w:hyperlink>
            <w:r>
              <w:rPr>
                <w:sz w:val="24"/>
              </w:rPr>
              <w:t xml:space="preserve"> (при наличии)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Оборудование для оценки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323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для ЛОР диагностики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146830</w:t>
            </w:r>
          </w:p>
        </w:tc>
        <w:tc>
          <w:tcPr>
            <w:tcW w:w="124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Камертон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229560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Аудиометр/отоскоп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333460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регистрации отоакустической эмиссии с питанием от сети;</w:t>
            </w:r>
          </w:p>
        </w:tc>
        <w:tc>
          <w:tcPr>
            <w:tcW w:w="158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141990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hyperlink w:history="0" w:anchor="P97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</w:p>
          <w:p>
            <w:pPr>
              <w:pStyle w:val="0"/>
              <w:jc w:val="center"/>
            </w:pPr>
            <w:hyperlink w:history="0" w:anchor="P100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регистрации отоакустической эмиссии с питанием от батареи</w:t>
            </w:r>
          </w:p>
        </w:tc>
        <w:tc>
          <w:tcPr>
            <w:tcW w:w="158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142000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графической регистрации вызванных потенциалов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152550</w:t>
            </w:r>
          </w:p>
        </w:tc>
        <w:tc>
          <w:tcPr>
            <w:tcW w:w="124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Аудиометр импедансный</w:t>
            </w:r>
          </w:p>
        </w:tc>
        <w:tc>
          <w:tcPr>
            <w:tcW w:w="158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145850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Оборудование для подбора, настройки слуховых аппаратов, верификации и валидации</w:t>
            </w:r>
          </w:p>
        </w:tc>
        <w:tc>
          <w:tcPr>
            <w:tcW w:w="323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Прибор для тестирования слуховых аппаратов/аудиометр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240570</w:t>
            </w:r>
          </w:p>
        </w:tc>
        <w:tc>
          <w:tcPr>
            <w:tcW w:w="1247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для беспроводной настройки слухового аппарата с использованием компьютера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188090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слуховых аппаратов с принадлежностями аппаратов (цифровых и аналоговых для различных степеней потери слуха)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7" w:type="dxa"/>
            <w:tcBorders>
              <w:top w:val="nil"/>
            </w:tcBorders>
            <w:vMerge w:val="restart"/>
          </w:tcPr>
          <w:p>
            <w:pPr>
              <w:pStyle w:val="0"/>
              <w:jc w:val="center"/>
            </w:pPr>
            <w:hyperlink w:history="0" w:anchor="P97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 </w:t>
            </w:r>
            <w:hyperlink w:history="0" w:anchor="P100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3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принтером и программным обеспечением для кабинета учителя-дефектолога (учителя-логопеда (логопеда)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405" w:name="P405"/>
    <w:bookmarkEnd w:id="4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Наименование и код вида/класса в соответствии с </w:t>
      </w:r>
      <w:hyperlink w:history="0" r:id="rId49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Минздрава России N 4н.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7313"/>
        <w:gridCol w:w="1191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731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метода, технологии, методики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31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оценки состояния органа слуха и слуховой функции: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отоскопия, видеоэндоскопия (микроскопия) наружного слухового прохода и барабанной перепонки;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проверка шепотной и разговорной речи и обследование с помощью камертонов;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тональная пороговая аудиометрия по воздушной и костной проводимости, в присутствии и в отсутствие маскирующего шума в наушниках и (или) свободном поле при использовании слухопротезного комплекта и без использования;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речевая аудиометрия в присутствии и в отсутствие шума в наушниках и (или) свободном поле при использовании слухопротезного комплекта и без использования;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коротколатентиых слуховых вызванных потенциалов и ASSR-теста (в сложных диагностических случаях);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различных классов отоакустической эмиссии;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акустической импедансометрии;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сурдологическое, психологическое, дефектологическое, неврологическое, логопедическое</w:t>
            </w:r>
          </w:p>
        </w:tc>
        <w:tc>
          <w:tcPr>
            <w:tcW w:w="1191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w:anchor="P97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</w:p>
          <w:p>
            <w:pPr>
              <w:pStyle w:val="0"/>
              <w:jc w:val="center"/>
            </w:pPr>
            <w:hyperlink w:history="0" w:anchor="P100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31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подбора слухового аппарата: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выбранных моделей слуховых аппаратов в соответствии с результатами диагностики с использованием программы изготовителя слухового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в испытательной камере или на реальном ухе человека;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сравнение слухового паспорта при надетом и снятом слухопротезном комплекте;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речевой аудиометрии в присутствии и в отсутствие шума в свободном поле при использовании слухопротезного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тональной пороговой аудиометрии в присутствии и в отсутствие шума в свободном поле при использовании слухопротезного комплекта</w:t>
            </w:r>
          </w:p>
        </w:tc>
        <w:tc>
          <w:tcPr>
            <w:tcW w:w="119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313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снятия слепков для изготовления ушных вкладышей: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отоскопия, видеоэндоскопия (микроскопия) наружного слухового прохода и барабанной перепонки;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слепка наружного уха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31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Технология изготовления ушных вкладышей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313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настройки слухопротезного комплекта: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выбранных моделей слуховых аппаратов в соответствии с результатами диагностики с использованием программы изготовителя слухового аппарата;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в испытательной камере или на реальном ухе человека;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слухового паспорта при надетом слухопротезном комплекте;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речевой аудиометрии в присутствии и в отсутствие шума в свободном поле при использовании слухопротезного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тональной пороговой аудиометрии в присутствии и в отсутствие шума в свободном поле при использовании слухопротезного комплекта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313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обучения использованию слухового комплекта, аксессуаров и вспомогательных слуховых устройств: опрос, анкетирование, консультирование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7313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психологической помощи в процессе слухопротезирования: опрос, анкетирование, консультирование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731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сопровождения в процессе пользования слуховым аппаратом: опрос, анкетирование, консультирование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Пособия для специалистов по слухопротезированию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Клиническая аудиология: национальное руководство: в 3 т./Г.А. Таварткиладзе. - Москва: ГЭОТАР-Медиа. 2024 - Том 2. Диагностика нарушений слуха. - 416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Практическая сурдология. М.Ю. Бобошко, И.В. Савенко, Е.С. Гарбарук, С.Г. Журавский, Н.В. Мальцева, И.П. Бердникова. - СПб: Диалог, 2021. - 420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Речевая аудиометрия в клинической практике. Бобошко М.Ю., Риехакайнен Е.И. - СПб: Издательство Диалог. 2019. - 80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Руководство по клинической аудиологии. Г.А. Таварткиладзе. - М.: Медицина. 2013. - 675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</w:t>
      </w:r>
      <w:hyperlink w:history="0" r:id="rId50" w:tooltip="&quot;ГОСТ Р ИСО 21388-2023. Национальный стандарт Российской Федерации. Акустика. Менеджмент услуг по слухопротезированию&quot; (утв. и введен в действие Приказом Росстандарта от 10.04.2023 N 209-ст) {КонсультантПлюс}">
        <w:r>
          <w:rPr>
            <w:sz w:val="24"/>
            <w:color w:val="0000ff"/>
          </w:rPr>
          <w:t xml:space="preserve">ГОСТ Р ИСО 21388-2023</w:t>
        </w:r>
      </w:hyperlink>
      <w:r>
        <w:rPr>
          <w:sz w:val="24"/>
        </w:rPr>
        <w:t xml:space="preserve"> "Акустика. Менеджмент услуг по слухопротезированию".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Клиническая аудиология: национальное руководство: в 3 т./Г.А. Таварткиладзе. - Москва: ГЭОТАР-Медиа. 2024 - Том 3. Реабилитация пациентов с тугоухостью и глухотой. - 296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Руководство по клинической аудиологии. Г.А. Таварткиладзе. - М.: Медицина. 2013. - 675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Руководство по аудиологии и слухопротезированию/Под ред. Я.Б. Лятковского; пер. с польск. Под ред. Н.А. Дайхеса. - М. 2009. - 240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Отопластика: в 2 т./У. Фоогдт. - Нижний Новгород: ООО "Слуховые аппараты и техника. Медсервис". 2005. - 368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Слуховые аппараты. А. Фонлантен, Х. Арнт - Ростовн/Д.: Феникс. 2009. - 304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Практическая сурдология. М.Ю. Бобошко, И.В. Савенко, Е.С. Гарбарук, С.Г. Журавский, Н.В. Мальцева, И.П. Бердникова. - СПб: Диалог, 2021. - 420 с.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Результат реализации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в полном объеме (оказано запанированное количество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частично (не все запланированные мероприятия реализованы);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не реализованы.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Показатели качества и оценка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реабилитационного эффекта: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(по результатам оценки эффективности имеется положительная динамика, конкретные цели реабилитации достигнуты):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отсутствует дискомфорт от использования слухового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имеет пороги слышимости не более 30 - 40 дБ ПС в свободном звуковом поле в частотном диапазоне 500 - 4000 Гц;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разбирает разговорную речь с расстояния не менее 3 метров;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разбирает разносложные слова в свободном звуковом поле на комфортном уровне громкости в слуховых аппаратах не менее 80% в тишине и не менее 70% в шуме;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частично (имеется незначительная динамика, все поставленные цели реабилитации не достигнуты):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отсутствует дискомфорт от использования слухового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имеет пороги слышимости не менее, чем на 10 дБ ПС меньше по сравнению с отсутствием слухового аппарата в свободном звуковом поле в частотном диапазоне 500 - 4000 Гц;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разбирает разговорную речь не менее, чем на 0,5 метра больше по сравнению с отсутствием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разбирает разносложные слова в свободном звуковом поле на комфортном уровне громкости в слуховых аппаратах не менее, чем на 10% лучше по сравнению с отсутствием слухового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не достигнут (динамика отсутствует, цели не достигнуты):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имеется дискомфорт от использования слухового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имеет пороги слышимости менее, чем на 10 дБ ПС меньше по сравнению с отсутствием слухового аппарата в свободном звуковом поле в частотном диапазоне 500 - 4000 Гц;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разбирает разговорную речь менее, чем на 0,5 метра больше по сравнению с отсутствием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разбирает разносложные слова в свободном звуковом поле на комфортном уровне громкости в слуховых аппаратах менее, чем на 10% лучше по сравнению с отсутствием слухового аппарата.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18.06.2025 N 381н</w:t>
            <w:br/>
            <w:t>"Об утверждении Стандарта оказания услуги по слухопротезированию инвалидов,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18.06.2025 N 381н</w:t>
            <w:br/>
            <w:t>"Об утверждении Стандарта оказания услуги по слухопротезированию инвалидов,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02.08.2025&amp;dst=471&amp;field=134&amp;demo=2" TargetMode = "External"/>
	<Relationship Id="rId8" Type="http://schemas.openxmlformats.org/officeDocument/2006/relationships/hyperlink" Target="https://login.consultant.ru/link/?req=doc&amp;base=LAW&amp;n=483022&amp;date=02.08.2025&amp;dst=504&amp;field=134&amp;demo=2" TargetMode = "External"/>
	<Relationship Id="rId9" Type="http://schemas.openxmlformats.org/officeDocument/2006/relationships/hyperlink" Target="https://login.consultant.ru/link/?req=doc&amp;base=LAW&amp;n=465514&amp;date=02.08.2025&amp;demo=2" TargetMode = "External"/>
	<Relationship Id="rId10" Type="http://schemas.openxmlformats.org/officeDocument/2006/relationships/hyperlink" Target="https://login.consultant.ru/link/?req=doc&amp;base=LAW&amp;n=495712&amp;date=02.08.2025&amp;dst=100440&amp;field=134&amp;demo=2" TargetMode = "External"/>
	<Relationship Id="rId11" Type="http://schemas.openxmlformats.org/officeDocument/2006/relationships/hyperlink" Target="https://login.consultant.ru/link/?req=doc&amp;base=LAW&amp;n=489991&amp;date=02.08.2025&amp;demo=2" TargetMode = "External"/>
	<Relationship Id="rId12" Type="http://schemas.openxmlformats.org/officeDocument/2006/relationships/hyperlink" Target="https://login.consultant.ru/link/?req=doc&amp;base=LAW&amp;n=500417&amp;date=02.08.2025&amp;dst=100011&amp;field=134&amp;demo=2" TargetMode = "External"/>
	<Relationship Id="rId13" Type="http://schemas.openxmlformats.org/officeDocument/2006/relationships/hyperlink" Target="https://login.consultant.ru/link/?req=doc&amp;base=LAW&amp;n=481937&amp;date=02.08.2025&amp;dst=100025&amp;field=134&amp;demo=2" TargetMode = "External"/>
	<Relationship Id="rId14" Type="http://schemas.openxmlformats.org/officeDocument/2006/relationships/hyperlink" Target="https://login.consultant.ru/link/?req=doc&amp;base=LAW&amp;n=358709&amp;date=02.08.2025&amp;dst=100010&amp;field=134&amp;demo=2" TargetMode = "External"/>
	<Relationship Id="rId15" Type="http://schemas.openxmlformats.org/officeDocument/2006/relationships/hyperlink" Target="https://login.consultant.ru/link/?req=doc&amp;base=LAW&amp;n=358710&amp;date=02.08.2025&amp;demo=2" TargetMode = "External"/>
	<Relationship Id="rId16" Type="http://schemas.openxmlformats.org/officeDocument/2006/relationships/hyperlink" Target="https://login.consultant.ru/link/?req=doc&amp;base=LAW&amp;n=141047&amp;date=02.08.2025&amp;demo=2" TargetMode = "External"/>
	<Relationship Id="rId17" Type="http://schemas.openxmlformats.org/officeDocument/2006/relationships/hyperlink" Target="https://login.consultant.ru/link/?req=doc&amp;base=LAW&amp;n=502861&amp;date=02.08.2025&amp;demo=2" TargetMode = "External"/>
	<Relationship Id="rId18" Type="http://schemas.openxmlformats.org/officeDocument/2006/relationships/hyperlink" Target="https://login.consultant.ru/link/?req=doc&amp;base=LAW&amp;n=359764&amp;date=02.08.2025&amp;demo=2" TargetMode = "External"/>
	<Relationship Id="rId19" Type="http://schemas.openxmlformats.org/officeDocument/2006/relationships/hyperlink" Target="https://login.consultant.ru/link/?req=doc&amp;base=LAW&amp;n=178423&amp;date=02.08.2025&amp;demo=2" TargetMode = "External"/>
	<Relationship Id="rId20" Type="http://schemas.openxmlformats.org/officeDocument/2006/relationships/hyperlink" Target="https://login.consultant.ru/link/?req=doc&amp;base=LAW&amp;n=195259&amp;date=02.08.2025&amp;demo=2" TargetMode = "External"/>
	<Relationship Id="rId21" Type="http://schemas.openxmlformats.org/officeDocument/2006/relationships/hyperlink" Target="https://login.consultant.ru/link/?req=doc&amp;base=LAW&amp;n=465232&amp;date=02.08.2025&amp;demo=2" TargetMode = "External"/>
	<Relationship Id="rId22" Type="http://schemas.openxmlformats.org/officeDocument/2006/relationships/hyperlink" Target="https://login.consultant.ru/link/?req=doc&amp;base=LAW&amp;n=483328&amp;date=02.08.2025&amp;dst=100015&amp;field=134&amp;demo=2" TargetMode = "External"/>
	<Relationship Id="rId23" Type="http://schemas.openxmlformats.org/officeDocument/2006/relationships/hyperlink" Target="https://login.consultant.ru/link/?req=doc&amp;base=LAW&amp;n=381815&amp;date=02.08.2025&amp;dst=100009&amp;field=134&amp;demo=2" TargetMode = "External"/>
	<Relationship Id="rId24" Type="http://schemas.openxmlformats.org/officeDocument/2006/relationships/hyperlink" Target="https://login.consultant.ru/link/?req=doc&amp;base=LAW&amp;n=433852&amp;date=02.08.2025&amp;dst=100011&amp;field=134&amp;demo=2" TargetMode = "External"/>
	<Relationship Id="rId25" Type="http://schemas.openxmlformats.org/officeDocument/2006/relationships/hyperlink" Target="https://login.consultant.ru/link/?req=doc&amp;base=LAW&amp;n=505406&amp;date=02.08.2025&amp;demo=2" TargetMode = "External"/>
	<Relationship Id="rId26" Type="http://schemas.openxmlformats.org/officeDocument/2006/relationships/hyperlink" Target="https://login.consultant.ru/link/?req=doc&amp;base=LAW&amp;n=431245&amp;date=02.08.2025&amp;demo=2" TargetMode = "External"/>
	<Relationship Id="rId27" Type="http://schemas.openxmlformats.org/officeDocument/2006/relationships/hyperlink" Target="https://login.consultant.ru/link/?req=doc&amp;base=LAW&amp;n=449248&amp;date=02.08.2025&amp;demo=2" TargetMode = "External"/>
	<Relationship Id="rId28" Type="http://schemas.openxmlformats.org/officeDocument/2006/relationships/hyperlink" Target="https://login.consultant.ru/link/?req=doc&amp;base=LAW&amp;n=509216&amp;date=02.08.2025&amp;demo=2" TargetMode = "External"/>
	<Relationship Id="rId29" Type="http://schemas.openxmlformats.org/officeDocument/2006/relationships/hyperlink" Target="https://login.consultant.ru/link/?req=doc&amp;base=LAW&amp;n=472970&amp;date=02.08.2025&amp;demo=2" TargetMode = "External"/>
	<Relationship Id="rId30" Type="http://schemas.openxmlformats.org/officeDocument/2006/relationships/hyperlink" Target="https://login.consultant.ru/link/?req=doc&amp;base=LAW&amp;n=484371&amp;date=02.08.2025&amp;demo=2" TargetMode = "External"/>
	<Relationship Id="rId31" Type="http://schemas.openxmlformats.org/officeDocument/2006/relationships/hyperlink" Target="https://login.consultant.ru/link/?req=doc&amp;base=LAW&amp;n=485076&amp;date=02.08.2025&amp;dst=100027&amp;field=134&amp;demo=2" TargetMode = "External"/>
	<Relationship Id="rId32" Type="http://schemas.openxmlformats.org/officeDocument/2006/relationships/hyperlink" Target="https://login.consultant.ru/link/?req=doc&amp;base=LAW&amp;n=497933&amp;date=02.08.2025&amp;dst=100089&amp;field=134&amp;demo=2" TargetMode = "External"/>
	<Relationship Id="rId33" Type="http://schemas.openxmlformats.org/officeDocument/2006/relationships/hyperlink" Target="https://login.consultant.ru/link/?req=doc&amp;base=LAW&amp;n=505404&amp;date=02.08.2025&amp;demo=2" TargetMode = "External"/>
	<Relationship Id="rId34" Type="http://schemas.openxmlformats.org/officeDocument/2006/relationships/hyperlink" Target="https://login.consultant.ru/link/?req=doc&amp;base=LAW&amp;n=483022&amp;date=02.08.2025&amp;dst=476&amp;field=134&amp;demo=2" TargetMode = "External"/>
	<Relationship Id="rId35" Type="http://schemas.openxmlformats.org/officeDocument/2006/relationships/hyperlink" Target="https://login.consultant.ru/link/?req=doc&amp;base=LAW&amp;n=495712&amp;date=02.08.2025&amp;dst=100355&amp;field=134&amp;demo=2" TargetMode = "External"/>
	<Relationship Id="rId36" Type="http://schemas.openxmlformats.org/officeDocument/2006/relationships/hyperlink" Target="https://login.consultant.ru/link/?req=doc&amp;base=LAW&amp;n=483022&amp;date=02.08.2025&amp;dst=462&amp;field=134&amp;demo=2" TargetMode = "External"/>
	<Relationship Id="rId37" Type="http://schemas.openxmlformats.org/officeDocument/2006/relationships/hyperlink" Target="https://login.consultant.ru/link/?req=doc&amp;base=LAW&amp;n=440938&amp;date=02.08.2025&amp;demo=2" TargetMode = "External"/>
	<Relationship Id="rId38" Type="http://schemas.openxmlformats.org/officeDocument/2006/relationships/hyperlink" Target="https://login.consultant.ru/link/?req=doc&amp;base=OTN&amp;n=35996&amp;date=02.08.2025&amp;dst=100074&amp;field=134&amp;demo=2" TargetMode = "External"/>
	<Relationship Id="rId39" Type="http://schemas.openxmlformats.org/officeDocument/2006/relationships/hyperlink" Target="https://login.consultant.ru/link/?req=doc&amp;base=LAW&amp;n=445366&amp;date=02.08.2025&amp;demo=2" TargetMode = "External"/>
	<Relationship Id="rId40" Type="http://schemas.openxmlformats.org/officeDocument/2006/relationships/hyperlink" Target="https://login.consultant.ru/link/?req=doc&amp;base=LAW&amp;n=480812&amp;date=02.08.2025&amp;dst=100018&amp;field=134&amp;demo=2" TargetMode = "External"/>
	<Relationship Id="rId41" Type="http://schemas.openxmlformats.org/officeDocument/2006/relationships/hyperlink" Target="https://login.consultant.ru/link/?req=doc&amp;base=LAW&amp;n=440938&amp;date=02.08.2025&amp;demo=2" TargetMode = "External"/>
	<Relationship Id="rId42" Type="http://schemas.openxmlformats.org/officeDocument/2006/relationships/hyperlink" Target="https://login.consultant.ru/link/?req=doc&amp;base=LAW&amp;n=483022&amp;date=02.08.2025&amp;dst=253&amp;field=134&amp;demo=2" TargetMode = "External"/>
	<Relationship Id="rId43" Type="http://schemas.openxmlformats.org/officeDocument/2006/relationships/hyperlink" Target="https://login.consultant.ru/link/?req=doc&amp;base=LAW&amp;n=300592&amp;date=02.08.2025&amp;dst=100010&amp;field=134&amp;demo=2" TargetMode = "External"/>
	<Relationship Id="rId44" Type="http://schemas.openxmlformats.org/officeDocument/2006/relationships/hyperlink" Target="https://login.consultant.ru/link/?req=doc&amp;base=LAW&amp;n=135996&amp;date=02.08.2025&amp;dst=100010&amp;field=134&amp;demo=2" TargetMode = "External"/>
	<Relationship Id="rId45" Type="http://schemas.openxmlformats.org/officeDocument/2006/relationships/hyperlink" Target="https://login.consultant.ru/link/?req=doc&amp;base=LAW&amp;n=135996&amp;date=02.08.2025&amp;demo=2" TargetMode = "External"/>
	<Relationship Id="rId46" Type="http://schemas.openxmlformats.org/officeDocument/2006/relationships/hyperlink" Target="https://login.consultant.ru/link/?req=doc&amp;base=LAW&amp;n=509216&amp;date=02.08.2025&amp;demo=2" TargetMode = "External"/>
	<Relationship Id="rId47" Type="http://schemas.openxmlformats.org/officeDocument/2006/relationships/header" Target="header2.xml"/>
	<Relationship Id="rId48" Type="http://schemas.openxmlformats.org/officeDocument/2006/relationships/footer" Target="footer2.xml"/>
	<Relationship Id="rId49" Type="http://schemas.openxmlformats.org/officeDocument/2006/relationships/hyperlink" Target="https://login.consultant.ru/link/?req=doc&amp;base=LAW&amp;n=359764&amp;date=02.08.2025&amp;demo=2" TargetMode = "External"/>
	<Relationship Id="rId50" Type="http://schemas.openxmlformats.org/officeDocument/2006/relationships/hyperlink" Target="https://login.consultant.ru/link/?req=doc&amp;base=OTN&amp;n=35996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18.06.2025 N 381н
"Об утверждении Стандарта оказания услуги по слухопротезированию инвалидов, получивших травму, ранение, контузию, увечье в связи с боевыми действиями"
(Зарегистрировано в Минюсте России 15.07.2025 N 82916)</dc:title>
  <dcterms:created xsi:type="dcterms:W3CDTF">2025-08-02T06:25:31Z</dcterms:created>
</cp:coreProperties>
</file>