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Письмо ФНС России от 15.07.2025 N БС-4-11/6705@</w:t>
              <w:br/>
              <w:t xml:space="preserve">"О порядке предоставления физическим лицам налоговых вычетов на долгосрочные сбережения граждан в соответствии с подпунктами 3, 4 пункта 1 статьи 219.2 Налогового кодекса Российской Федерации"</w:t>
              <w:br/>
              <w:t xml:space="preserve">(вместе с &lt;Письмом&gt; Минфина России от 10.07.2025 N 03-04-07/67285)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15 июля 2025 г. N БС-4-11/6705@</w:t>
      </w:r>
    </w:p>
    <w:p>
      <w:pPr>
        <w:pStyle w:val="2"/>
        <w:jc w:val="center"/>
      </w:pPr>
      <w:r>
        <w:rPr>
          <w:sz w:val="24"/>
        </w:rPr>
      </w:r>
    </w:p>
    <w:p>
      <w:pPr>
        <w:pStyle w:val="2"/>
        <w:jc w:val="center"/>
      </w:pPr>
      <w:r>
        <w:rPr>
          <w:sz w:val="24"/>
        </w:rPr>
        <w:t xml:space="preserve">О ПОРЯДКЕ</w:t>
      </w:r>
    </w:p>
    <w:p>
      <w:pPr>
        <w:pStyle w:val="2"/>
        <w:jc w:val="center"/>
      </w:pPr>
      <w:r>
        <w:rPr>
          <w:sz w:val="24"/>
        </w:rPr>
        <w:t xml:space="preserve">ПРЕДОСТАВЛЕНИЯ ФИЗИЧЕСКИМ ЛИЦАМ НАЛОГОВЫХ ВЫЧЕТОВ</w:t>
      </w:r>
    </w:p>
    <w:p>
      <w:pPr>
        <w:pStyle w:val="2"/>
        <w:jc w:val="center"/>
      </w:pPr>
      <w:r>
        <w:rPr>
          <w:sz w:val="24"/>
        </w:rPr>
        <w:t xml:space="preserve">НА ДОЛГОСРОЧНЫЕ СБЕРЕЖЕНИЯ ГРАЖДАН В СООТВЕТСТВИИ</w:t>
      </w:r>
    </w:p>
    <w:p>
      <w:pPr>
        <w:pStyle w:val="2"/>
        <w:jc w:val="center"/>
      </w:pPr>
      <w:r>
        <w:rPr>
          <w:sz w:val="24"/>
        </w:rPr>
        <w:t xml:space="preserve">С ПОДПУНКТАМИ 3, 4 ПУНКТА 1 СТАТЬИ 219.2</w:t>
      </w:r>
    </w:p>
    <w:p>
      <w:pPr>
        <w:pStyle w:val="2"/>
        <w:jc w:val="center"/>
      </w:pPr>
      <w:r>
        <w:rPr>
          <w:sz w:val="24"/>
        </w:rPr>
        <w:t xml:space="preserve">НАЛОГОВОГО КОДЕКСА РОССИЙСКОЙ ФЕДЕРАЦИИ</w:t>
      </w:r>
    </w:p>
    <w:p>
      <w:pPr>
        <w:pStyle w:val="0"/>
        <w:jc w:val="both"/>
      </w:pPr>
      <w:r>
        <w:rPr>
          <w:sz w:val="24"/>
        </w:rPr>
      </w:r>
    </w:p>
    <w:p>
      <w:pPr>
        <w:pStyle w:val="0"/>
        <w:ind w:firstLine="540"/>
        <w:jc w:val="both"/>
      </w:pPr>
      <w:r>
        <w:rPr>
          <w:sz w:val="24"/>
        </w:rPr>
        <w:t xml:space="preserve">Федеральная налоговая служба направляет для сведения и использования в работе </w:t>
      </w:r>
      <w:hyperlink w:history="0" w:anchor="P29" w:tooltip="ПИСЬМО">
        <w:r>
          <w:rPr>
            <w:sz w:val="24"/>
            <w:color w:val="0000ff"/>
          </w:rPr>
          <w:t xml:space="preserve">письмо</w:t>
        </w:r>
      </w:hyperlink>
      <w:r>
        <w:rPr>
          <w:sz w:val="24"/>
        </w:rPr>
        <w:t xml:space="preserve"> Министерства финансов Российской Федерации от 10.07.2025 N 03-04-07/67285 по вопросу порядка предоставления физическим лицам налоговых вычетов на долгосрочные сбережения граждан в соответствии с </w:t>
      </w:r>
      <w:hyperlink w:history="0" r:id="rId7"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подпунктами 3</w:t>
        </w:r>
      </w:hyperlink>
      <w:r>
        <w:rPr>
          <w:sz w:val="24"/>
        </w:rPr>
        <w:t xml:space="preserve">, </w:t>
      </w:r>
      <w:hyperlink w:history="0" r:id="rId8"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4 пункта 1 статьи 219.2</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Доведите указанное </w:t>
      </w:r>
      <w:hyperlink w:history="0" w:anchor="P29" w:tooltip="ПИСЬМО">
        <w:r>
          <w:rPr>
            <w:sz w:val="24"/>
            <w:color w:val="0000ff"/>
          </w:rPr>
          <w:t xml:space="preserve">письмо</w:t>
        </w:r>
      </w:hyperlink>
      <w:r>
        <w:rPr>
          <w:sz w:val="24"/>
        </w:rPr>
        <w:t xml:space="preserve"> до нижестоящих налоговых органов.</w:t>
      </w:r>
    </w:p>
    <w:p>
      <w:pPr>
        <w:pStyle w:val="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С.Л.БОНДАРЧУК</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bookmarkStart w:id="29" w:name="P29"/>
    <w:bookmarkEnd w:id="29"/>
    <w:p>
      <w:pPr>
        <w:pStyle w:val="2"/>
        <w:jc w:val="center"/>
      </w:pPr>
      <w:r>
        <w:rPr>
          <w:sz w:val="24"/>
        </w:rPr>
        <w:t xml:space="preserve">ПИСЬМО</w:t>
      </w:r>
    </w:p>
    <w:p>
      <w:pPr>
        <w:pStyle w:val="2"/>
        <w:jc w:val="center"/>
      </w:pPr>
      <w:r>
        <w:rPr>
          <w:sz w:val="24"/>
        </w:rPr>
        <w:t xml:space="preserve">от 10 июля 2025 г. N 03-04-07/67285</w:t>
      </w:r>
    </w:p>
    <w:p>
      <w:pPr>
        <w:pStyle w:val="0"/>
        <w:jc w:val="both"/>
      </w:pPr>
      <w:r>
        <w:rPr>
          <w:sz w:val="24"/>
        </w:rPr>
      </w:r>
    </w:p>
    <w:p>
      <w:pPr>
        <w:pStyle w:val="0"/>
        <w:ind w:firstLine="540"/>
        <w:jc w:val="both"/>
      </w:pPr>
      <w:r>
        <w:rPr>
          <w:sz w:val="24"/>
        </w:rPr>
        <w:t xml:space="preserve">Департамент налоговой политики (далее - Департамент) рассмотрел письмо по вопросу предоставления налогового вычета по налогу на доходы физических лиц и в соответствии со </w:t>
      </w:r>
      <w:hyperlink w:history="0" r:id="rId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34.2</w:t>
        </w:r>
      </w:hyperlink>
      <w:r>
        <w:rPr>
          <w:sz w:val="24"/>
        </w:rPr>
        <w:t xml:space="preserve"> Налогового кодекса Российской Федерации (далее - Кодекс) разъясняет следующее.</w:t>
      </w:r>
    </w:p>
    <w:p>
      <w:pPr>
        <w:pStyle w:val="0"/>
        <w:spacing w:before="240" w:line-rule="auto"/>
        <w:ind w:firstLine="540"/>
        <w:jc w:val="both"/>
      </w:pPr>
      <w:r>
        <w:rPr>
          <w:sz w:val="24"/>
        </w:rPr>
        <w:t xml:space="preserve">В соответствии с </w:t>
      </w:r>
      <w:hyperlink w:history="0" r:id="rId10" w:tooltip="Федеральный закон от 23.03.2024 N 58-ФЗ (ред. от 08.08.2024)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частью 10 статьи 3</w:t>
        </w:r>
      </w:hyperlink>
      <w:r>
        <w:rPr>
          <w:sz w:val="24"/>
        </w:rPr>
        <w:t xml:space="preserve"> Федерального закона от 23.03.2024 N 58-ФЗ "О внесении изменений в статьи 102 и 126.2 части первой и часть вторую Налогового кодекса Российской Федерации" по договору на ведение индивидуального инвестиционного счета, заключенному до 31 декабря 2023 года включительно, налогоплательщик имеет право на получение налоговых вычетов на долгосрочные сбережения граждан, предусмотренных </w:t>
      </w:r>
      <w:hyperlink w:history="0" r:id="rId11"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подпунктами 3</w:t>
        </w:r>
      </w:hyperlink>
      <w:r>
        <w:rPr>
          <w:sz w:val="24"/>
        </w:rPr>
        <w:t xml:space="preserve"> и </w:t>
      </w:r>
      <w:hyperlink w:history="0" r:id="rId12"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4 пункта 1 статьи 219.2</w:t>
        </w:r>
      </w:hyperlink>
      <w:r>
        <w:rPr>
          <w:sz w:val="24"/>
        </w:rPr>
        <w:t xml:space="preserve"> Кодекса, с учетом особенностей, предусмотренных </w:t>
      </w:r>
      <w:hyperlink w:history="0" r:id="rId13"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статьей 219.2</w:t>
        </w:r>
      </w:hyperlink>
      <w:r>
        <w:rPr>
          <w:sz w:val="24"/>
        </w:rPr>
        <w:t xml:space="preserve"> Кодекса и указанной частью, начиная с 1 января календарного года, в котором налогоплательщиком подано заявление в порядке, установленном федеральным органом исполнительной власти, уполномоченным по контролю и надзору в области налогов и сборов.</w:t>
      </w:r>
    </w:p>
    <w:p>
      <w:pPr>
        <w:pStyle w:val="0"/>
        <w:spacing w:before="240" w:line-rule="auto"/>
        <w:ind w:firstLine="540"/>
        <w:jc w:val="both"/>
      </w:pPr>
      <w:r>
        <w:rPr>
          <w:sz w:val="24"/>
        </w:rPr>
        <w:t xml:space="preserve">В соответствии с </w:t>
      </w:r>
      <w:hyperlink w:history="0" r:id="rId14"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подпунктами 3</w:t>
        </w:r>
      </w:hyperlink>
      <w:r>
        <w:rPr>
          <w:sz w:val="24"/>
        </w:rPr>
        <w:t xml:space="preserve"> и </w:t>
      </w:r>
      <w:hyperlink w:history="0" r:id="rId15"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4 пункта 1 статьи 219.2</w:t>
        </w:r>
      </w:hyperlink>
      <w:r>
        <w:rPr>
          <w:sz w:val="24"/>
        </w:rPr>
        <w:t xml:space="preserve"> Кодекса в случаях, предусмотренных </w:t>
      </w:r>
      <w:hyperlink w:history="0" r:id="rId16"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главой 23</w:t>
        </w:r>
      </w:hyperlink>
      <w:r>
        <w:rPr>
          <w:sz w:val="24"/>
        </w:rPr>
        <w:t xml:space="preserve"> Кодекса, при определении размера налоговых баз по налогу на доходы физических лиц налогоплательщик имеет право на получение соответственно налоговых вычетов на долгосрочные сбережения граждан, предоставляемых с учетом особенностей и в порядке, которые предусмотрены указанной </w:t>
      </w:r>
      <w:hyperlink w:history="0" r:id="rId17"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статьей</w:t>
        </w:r>
      </w:hyperlink>
      <w:r>
        <w:rPr>
          <w:sz w:val="24"/>
        </w:rPr>
        <w:t xml:space="preserve">:</w:t>
      </w:r>
    </w:p>
    <w:p>
      <w:pPr>
        <w:pStyle w:val="0"/>
        <w:spacing w:before="240" w:line-rule="auto"/>
        <w:ind w:firstLine="540"/>
        <w:jc w:val="both"/>
      </w:pPr>
      <w:r>
        <w:rPr>
          <w:sz w:val="24"/>
        </w:rPr>
        <w:t xml:space="preserve">в сумме денежных средств, внесенных налогоплательщиком в налоговом периоде на его индивидуальный инвестиционный счет, открытый начиная с 1 января 2024 года;</w:t>
      </w:r>
    </w:p>
    <w:p>
      <w:pPr>
        <w:pStyle w:val="0"/>
        <w:spacing w:before="240" w:line-rule="auto"/>
        <w:ind w:firstLine="540"/>
        <w:jc w:val="both"/>
      </w:pPr>
      <w:r>
        <w:rPr>
          <w:sz w:val="24"/>
        </w:rPr>
        <w:t xml:space="preserve">в сумме положительного финансового результата, полученного по операциям, учитываемым на индивидуальном инвестиционном счете, открытом начиная с 1 января 2024 года, определяемого в отношении доходов по таким операциям, перечисляемых непосредственно на такой индивидуальный инвестиционный счет.</w:t>
      </w:r>
    </w:p>
    <w:p>
      <w:pPr>
        <w:pStyle w:val="0"/>
        <w:spacing w:before="240" w:line-rule="auto"/>
        <w:ind w:firstLine="540"/>
        <w:jc w:val="both"/>
      </w:pPr>
      <w:r>
        <w:rPr>
          <w:sz w:val="24"/>
        </w:rPr>
        <w:t xml:space="preserve">Таким образом, по договору на ведение индивидуального инвестиционного счета, заключенному до 31 декабря 2023 года включительно, налогоплательщик имеет право на получение налоговых вычетов на долгосрочные сбережения граждан, предусмотренных </w:t>
      </w:r>
      <w:hyperlink w:history="0" r:id="rId18"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подпунктами 3</w:t>
        </w:r>
      </w:hyperlink>
      <w:r>
        <w:rPr>
          <w:sz w:val="24"/>
        </w:rPr>
        <w:t xml:space="preserve"> и </w:t>
      </w:r>
      <w:hyperlink w:history="0" r:id="rId19"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4 пункта 1 статьи 219.2</w:t>
        </w:r>
      </w:hyperlink>
      <w:r>
        <w:rPr>
          <w:sz w:val="24"/>
        </w:rPr>
        <w:t xml:space="preserve"> Кодекса, при соблюдении установленных условий.</w:t>
      </w:r>
    </w:p>
    <w:p>
      <w:pPr>
        <w:pStyle w:val="0"/>
        <w:spacing w:before="240" w:line-rule="auto"/>
        <w:ind w:firstLine="540"/>
        <w:jc w:val="both"/>
      </w:pPr>
      <w:r>
        <w:rPr>
          <w:sz w:val="24"/>
        </w:rPr>
        <w:t xml:space="preserve">При этом, по мнению Департамента, меры налогового стимулирования, предусмотренные, в частности, положениями </w:t>
      </w:r>
      <w:hyperlink w:history="0" r:id="rId20"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статей 219.1</w:t>
        </w:r>
      </w:hyperlink>
      <w:r>
        <w:rPr>
          <w:sz w:val="24"/>
        </w:rPr>
        <w:t xml:space="preserve"> и </w:t>
      </w:r>
      <w:hyperlink w:history="0" r:id="rId21" w:tooltip="&quot;Налоговый кодекс Российской Федерации (часть вторая)&quot; от 05.08.2000 N 117-ФЗ (ред. от 23.07.2025) (с изм. и доп., вступ. в силу с 24.07.2025) ------------ Недействующая редакция {КонсультантПлюс}">
        <w:r>
          <w:rPr>
            <w:sz w:val="24"/>
            <w:color w:val="0000ff"/>
          </w:rPr>
          <w:t xml:space="preserve">219.2</w:t>
        </w:r>
      </w:hyperlink>
      <w:r>
        <w:rPr>
          <w:sz w:val="24"/>
        </w:rPr>
        <w:t xml:space="preserve"> Кодекса, не могут применяться в отношении индивидуальных инвестиционных счетов, открытие и (или) ведение которых не соответствует положениям, в частности, </w:t>
      </w:r>
      <w:hyperlink w:history="0" r:id="rId22" w:tooltip="Федеральный закон от 22.04.1996 N 39-ФЗ (ред. от 28.12.2024) &quot;О рынке ценных бумаг&quot; (с изм. и доп., вступ. в силу с 23.07.2025) {КонсультантПлюс}">
        <w:r>
          <w:rPr>
            <w:sz w:val="24"/>
            <w:color w:val="0000ff"/>
          </w:rPr>
          <w:t xml:space="preserve">статьи 10.2-1</w:t>
        </w:r>
      </w:hyperlink>
      <w:r>
        <w:rPr>
          <w:sz w:val="24"/>
        </w:rPr>
        <w:t xml:space="preserve"> Федерального закона от 22.04.1996 N 39-ФЗ "О рынке ценных бумаг" и соответствующих положений федеральных законов, которыми вносились изменения в указанную </w:t>
      </w:r>
      <w:hyperlink w:history="0" r:id="rId23" w:tooltip="Федеральный закон от 22.04.1996 N 39-ФЗ (ред. от 28.12.2024) &quot;О рынке ценных бумаг&quot; (с изм. и доп., вступ. в силу с 23.07.2025) {КонсультантПлюс}">
        <w:r>
          <w:rPr>
            <w:sz w:val="24"/>
            <w:color w:val="0000ff"/>
          </w:rPr>
          <w:t xml:space="preserve">статью</w:t>
        </w:r>
      </w:hyperlink>
      <w:r>
        <w:rPr>
          <w:sz w:val="24"/>
        </w:rPr>
        <w:t xml:space="preserve">.</w:t>
      </w:r>
    </w:p>
    <w:p>
      <w:pPr>
        <w:pStyle w:val="0"/>
        <w:jc w:val="both"/>
      </w:pPr>
      <w:r>
        <w:rPr>
          <w:sz w:val="24"/>
        </w:rPr>
      </w:r>
    </w:p>
    <w:p>
      <w:pPr>
        <w:pStyle w:val="0"/>
        <w:jc w:val="right"/>
      </w:pPr>
      <w:r>
        <w:rPr>
          <w:sz w:val="24"/>
        </w:rPr>
        <w:t xml:space="preserve">Директор Департамента</w:t>
      </w:r>
    </w:p>
    <w:p>
      <w:pPr>
        <w:pStyle w:val="0"/>
        <w:jc w:val="right"/>
      </w:pPr>
      <w:r>
        <w:rPr>
          <w:sz w:val="24"/>
        </w:rPr>
        <w:t xml:space="preserve">Д.В.ВОЛКОВ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Письмо ФНС России от 15.07.2025 N БС-4-11/6705@</w:t>
            <w:br/>
            <w:t>"О порядке предоставления физическим лицам налоговых вычетов на долгосро...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8518&amp;date=02.08.2025&amp;dst=25430&amp;field=134&amp;demo=2" TargetMode = "External"/>
	<Relationship Id="rId8" Type="http://schemas.openxmlformats.org/officeDocument/2006/relationships/hyperlink" Target="https://login.consultant.ru/link/?req=doc&amp;base=LAW&amp;n=508518&amp;date=02.08.2025&amp;dst=25431&amp;field=134&amp;demo=2" TargetMode = "External"/>
	<Relationship Id="rId9" Type="http://schemas.openxmlformats.org/officeDocument/2006/relationships/hyperlink" Target="https://login.consultant.ru/link/?req=doc&amp;base=LAW&amp;n=483130&amp;date=02.08.2025&amp;dst=3880&amp;field=134&amp;demo=2" TargetMode = "External"/>
	<Relationship Id="rId10" Type="http://schemas.openxmlformats.org/officeDocument/2006/relationships/hyperlink" Target="https://login.consultant.ru/link/?req=doc&amp;base=LAW&amp;n=482754&amp;date=02.08.2025&amp;dst=100165&amp;field=134&amp;demo=2" TargetMode = "External"/>
	<Relationship Id="rId11" Type="http://schemas.openxmlformats.org/officeDocument/2006/relationships/hyperlink" Target="https://login.consultant.ru/link/?req=doc&amp;base=LAW&amp;n=508518&amp;date=02.08.2025&amp;dst=25430&amp;field=134&amp;demo=2" TargetMode = "External"/>
	<Relationship Id="rId12" Type="http://schemas.openxmlformats.org/officeDocument/2006/relationships/hyperlink" Target="https://login.consultant.ru/link/?req=doc&amp;base=LAW&amp;n=508518&amp;date=02.08.2025&amp;dst=25431&amp;field=134&amp;demo=2" TargetMode = "External"/>
	<Relationship Id="rId13" Type="http://schemas.openxmlformats.org/officeDocument/2006/relationships/hyperlink" Target="https://login.consultant.ru/link/?req=doc&amp;base=LAW&amp;n=508518&amp;date=02.08.2025&amp;dst=25426&amp;field=134&amp;demo=2" TargetMode = "External"/>
	<Relationship Id="rId14" Type="http://schemas.openxmlformats.org/officeDocument/2006/relationships/hyperlink" Target="https://login.consultant.ru/link/?req=doc&amp;base=LAW&amp;n=508518&amp;date=02.08.2025&amp;dst=25430&amp;field=134&amp;demo=2" TargetMode = "External"/>
	<Relationship Id="rId15" Type="http://schemas.openxmlformats.org/officeDocument/2006/relationships/hyperlink" Target="https://login.consultant.ru/link/?req=doc&amp;base=LAW&amp;n=508518&amp;date=02.08.2025&amp;dst=25431&amp;field=134&amp;demo=2" TargetMode = "External"/>
	<Relationship Id="rId16" Type="http://schemas.openxmlformats.org/officeDocument/2006/relationships/hyperlink" Target="https://login.consultant.ru/link/?req=doc&amp;base=LAW&amp;n=508518&amp;date=02.08.2025&amp;dst=101069&amp;field=134&amp;demo=2" TargetMode = "External"/>
	<Relationship Id="rId17" Type="http://schemas.openxmlformats.org/officeDocument/2006/relationships/hyperlink" Target="https://login.consultant.ru/link/?req=doc&amp;base=LAW&amp;n=508518&amp;date=02.08.2025&amp;dst=25426&amp;field=134&amp;demo=2" TargetMode = "External"/>
	<Relationship Id="rId18" Type="http://schemas.openxmlformats.org/officeDocument/2006/relationships/hyperlink" Target="https://login.consultant.ru/link/?req=doc&amp;base=LAW&amp;n=508518&amp;date=02.08.2025&amp;dst=25430&amp;field=134&amp;demo=2" TargetMode = "External"/>
	<Relationship Id="rId19" Type="http://schemas.openxmlformats.org/officeDocument/2006/relationships/hyperlink" Target="https://login.consultant.ru/link/?req=doc&amp;base=LAW&amp;n=508518&amp;date=02.08.2025&amp;dst=25431&amp;field=134&amp;demo=2" TargetMode = "External"/>
	<Relationship Id="rId20" Type="http://schemas.openxmlformats.org/officeDocument/2006/relationships/hyperlink" Target="https://login.consultant.ru/link/?req=doc&amp;base=LAW&amp;n=508518&amp;date=02.08.2025&amp;dst=9540&amp;field=134&amp;demo=2" TargetMode = "External"/>
	<Relationship Id="rId21" Type="http://schemas.openxmlformats.org/officeDocument/2006/relationships/hyperlink" Target="https://login.consultant.ru/link/?req=doc&amp;base=LAW&amp;n=508518&amp;date=02.08.2025&amp;dst=25426&amp;field=134&amp;demo=2" TargetMode = "External"/>
	<Relationship Id="rId22" Type="http://schemas.openxmlformats.org/officeDocument/2006/relationships/hyperlink" Target="https://login.consultant.ru/link/?req=doc&amp;base=LAW&amp;n=496708&amp;date=02.08.2025&amp;dst=2998&amp;field=134&amp;demo=2" TargetMode = "External"/>
	<Relationship Id="rId23" Type="http://schemas.openxmlformats.org/officeDocument/2006/relationships/hyperlink" Target="https://login.consultant.ru/link/?req=doc&amp;base=LAW&amp;n=496708&amp;date=02.08.2025&amp;dst=299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Письмо ФНС России от 15.07.2025 N БС-4-11/6705@
"О порядке предоставления физическим лицам налоговых вычетов на долгосрочные сбережения граждан в соответствии с подпунктами 3, 4 пункта 1 статьи 219.2 Налогового кодекса Российской Федерации"
(вместе с &lt;Письмом&gt; Минфина России от 10.07.2025 N 03-04-07/67285)</dc:title>
  <dcterms:created xsi:type="dcterms:W3CDTF">2025-08-02T07:20:07Z</dcterms:created>
</cp:coreProperties>
</file>