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18.06.2025 N 382н</w:t>
              <w:br/>
              <w:t xml:space="preserve">"Об утверждении Стандарта оказания услуги по протезированию инвалидов"</w:t>
              <w:br/>
              <w:t xml:space="preserve">(Зарегистрировано в Минюсте России 16.07.2025 N 82958)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16 июля 2025 г. N 82958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июня 2025 г. N 382н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ПРОТЕЗИРОВАНИЮ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8" w:tooltip="СТАНДАРТ ОКАЗАНИЯ УСЛУГИ ПО ПРОТЕЗИРОВАНИЮ ИНВАЛИДОВ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протезированию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июня 2025 г. N 382н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СТАНДАРТ ОКАЗАНИЯ УСЛУГИ ПО ПРОТЕЗИРОВАНИЮ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протезированию инвалидов (далее соответственно - стандарт, услуга) определяет основные требования к содержанию, объему, периодичности и качеству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здрава России от 12.11.2012 N 901н (ред. от 21.02.2020) &quot;Об утверждении Порядка оказания медицинской помощи населению по профилю &quot;травматология и ортопедия&quot; (Зарегистрировано в Минюсте России 25.12.2012 N 2637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12 ноября 2012 г. N 901н "Об утверждении Порядка оказания медицинской помощи населению по профилю "травматология и ортопедия" (зарегистрирован Министерством юстиции Российской Федерации 25 декабря 2012 г., регистрационный N 26374)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здрава России от 15.11.2012 N 922н (ред. от 21.02.2020) &quot;Об утверждении Порядка оказания медицинской помощи взрослому населению по профилю &quot;хирургия&quot; (Зарегистрировано в Минюсте России 17.04.2013 N 2816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922н "Об утверждении Порядка оказания медицинской помощи взрослому населению по профилю "хирургия" (зарегистрирован Министерством юстиции Российской Федерации 17 апреля 2013 г., регистрационный N 28161)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риказ Минздрава России от 15.11.2012 N 923н &quot;Об утверждении Порядка оказания медицинской помощи взрослому населению по профилю &quot;терапия&quot; (Зарегистрировано в Минюсте России 29.12.2012 N 2648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года N 923н "Об утверждении Порядка оказания медицинской помощи взрослому населению по профилю "терапия" (зарегистрирован Министерством юстиции Российской Федерации 29 декабря 2012 г., регистрационный N 26482);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Минздрава России от 15.11.2012 N 926н (ред. от 10.03.2025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Российской Федерации 23 января 2013 г., регистрационный N 26692) с изменениями, внесенными приказом Министерства здравоохранения Российской Федерации от 10 марта 2025 г. N 102н (зарегистрирован Министерством юстиции Российской Федерации 8 апреля 2025 г., регистрационный N 81778);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 и от 7 июля 2020 г. N 686н (зарегистрирован Министерством юстиции Российской Федерации 10 августа 2020 г., регистрационный N 59225) (далее - приказ Минздрава России N 4н);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здрава России от 10.02.2016 N 83н &quot;Об утверждении Квалификационных требований к медицинским и фармацевтическим работникам со средним медицинским и фармацевтическим образованием&quot; (Зарегистрировано в Минюсте России 09.03.2016 N 4133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10 февраля 2016 г. N 83н "Об утверждении квалификационных требований к медицинским и фармацевтическим работникам со средним медицинским и фармацевтическим образованием (зарегистрирован Министерством юстиции Российской Федерации 9 марта 2016 г., регистрационный N 41337);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труда России от 13.02.2018 N 86н (ред. от 10.07.2024) &quot;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&quot; (Зарегистрировано в Минюсте России 14.03.2018 N 5033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(зарегистрирован Министерством юстиции Российской Федерации 14 марта 2018 г., регистрационный N 50338) с изменениями, внесенными приказами Министерства труда и социальной защиты Российской Федерации от 6 мая 2019 г. N 307н (зарегистрирован Министерством юстиции Российской Федерации 31 мая 2019 г., регистрационный N 54799), от 5 марта 2021 г. N 108н (зарегистрирован Министерством юстиции Российской Федерации 8 апреля 2021 г., регистрационный N 63023),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10 июля 2024 г. N 346н (зарегистрирован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Министерством юстиции Российской Федерации 17 сентября 2018 г. регистрационный N 52162);</w:t>
      </w:r>
    </w:p>
    <w:p>
      <w:pPr>
        <w:pStyle w:val="0"/>
        <w:spacing w:before="240" w:line-rule="auto"/>
        <w:ind w:firstLine="540"/>
        <w:jc w:val="both"/>
      </w:pPr>
      <w:hyperlink w:history="0" r:id="rId21" w:tooltip="Приказ Минтруда России от 23.07.2019 N 521н (ред. от 05.03.2021) &quot;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23 июля 2019 г. N 521н "Об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протезно-ортопедическим изделиям, а также подлежащих замене по истечении установленного срока пользования, если необходимость замены подтверждена заключением медико-технической экспертизы" (зарегистрирован Министерством юстиции Российской Федерации 15 августа 2019 г., регистрационный N 55638) с изменениями, внесенными приказами Министерства труда и социальной защиты Российской Федерации от 29 апреля 2020 г. N 227н (зарегистрирован Министерством юстиции Российской Федерации 2 июня 2020 г., регистрационный N 58538) и от 5 марта 2021 г. N 108н (зарегистрирован Министерством юстиции Российской Федерации 8 апреля 2021 г., регистрационный N 63023);</w:t>
      </w:r>
    </w:p>
    <w:p>
      <w:pPr>
        <w:pStyle w:val="0"/>
        <w:spacing w:before="240" w:line-rule="auto"/>
        <w:ind w:firstLine="540"/>
        <w:jc w:val="both"/>
      </w:pPr>
      <w:hyperlink w:history="0" r:id="rId22" w:tooltip="Приказ Минздрава России от 31.07.2020 N 788н (ред. от 07.11.2022) &quot;Об утверждении Порядка организации медицинской реабилитации взрослых&quot; (Зарегистрировано в Минюсте России 25.09.2020 N 6003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31 июля 2020 г. N 788н "Об утверждении Порядка организации медицинской реабилитации взрослых" (зарегистрирован Министерством юстиции Российской Федерации 25 сентября 2020 г., регистрационный N 60039) с изменениями, внесенными приказом Министерства здравоохранения Российской Федерации от 7 ноября 2022 г. N 727н (зарегистрирован Министерством юстиции Российской Федерации 9 декабря 2022 г., регистрационный N 71434);</w:t>
      </w:r>
    </w:p>
    <w:p>
      <w:pPr>
        <w:pStyle w:val="0"/>
        <w:spacing w:before="240" w:line-rule="auto"/>
        <w:ind w:firstLine="540"/>
        <w:jc w:val="both"/>
      </w:pPr>
      <w:hyperlink w:history="0" r:id="rId23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от 10 апреля 2025 г. N 199н (зарегистрирован Министерством юстиции Российской Федерации 14 мая 2025 г., регистрационный N 82167);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205н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 июня 2023 г., регистрационный N 73664) с изменениями, внесенными приказом Министерства здравоохранения Российской Федерации от 4 декабря 2023 г. N 649н (зарегистрирован Министерством юстиции Российской Федерации 21 декабря 2023 г., регистрационный N 76537), срок действия - до 1 сентября 2025 г. (далее - приказ Минздрава России N 205н);</w:t>
      </w:r>
    </w:p>
    <w:p>
      <w:pPr>
        <w:pStyle w:val="0"/>
        <w:spacing w:before="240" w:line-rule="auto"/>
        <w:ind w:firstLine="540"/>
        <w:jc w:val="both"/>
      </w:pPr>
      <w:hyperlink w:history="0" r:id="rId25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 с изменениями, внесенными приказом Министерства здравоохранения Российской Федерации от 19 февраля 2024 г. N 72н (зарегистрирован Министерством юстиции Российской Федерации 25 марта 2024 г., регистрационный N 77616);</w:t>
      </w:r>
    </w:p>
    <w:p>
      <w:pPr>
        <w:pStyle w:val="0"/>
        <w:spacing w:before="240" w:line-rule="auto"/>
        <w:ind w:firstLine="540"/>
        <w:jc w:val="both"/>
      </w:pPr>
      <w:hyperlink w:history="0" r:id="rId27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2025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28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29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Федерации" (зарегистрирован Министерством юстиции Российской Федерации 4 февраля 2025 г., регистрационный N 81142);</w:t>
      </w:r>
    </w:p>
    <w:p>
      <w:pPr>
        <w:pStyle w:val="0"/>
        <w:spacing w:before="240" w:line-rule="auto"/>
        <w:ind w:firstLine="540"/>
        <w:jc w:val="both"/>
      </w:pPr>
      <w:hyperlink w:history="0" r:id="rId3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декабря 2024 г. N 687н "Об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инвалидов" (зарегистрирован Министерством юстиции Российской Федерации 12 марта 2025 г., регистрационный N 81522)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Стандарт распространяется на поставщиков услуг, предоставляющих услугу по протезированию инвалидов в рамках реализации мероприятий по основному направлению комплексной реабилитации и абилитации "Протезно-ортопедическая помощь инвалидам" (протезирование).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Термины и определения &lt;1&gt;: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1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Федеральный закон N 181-ФЗ).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протезно-ортопедическая помощь инвалидам - комплекс мероприятий и услуг, включая протезирование инвалидов, ортезирование инвалидов, слухопротезирование инвалидов, направленных на достижение ими возможно более полной компенсации стойких ограничений жизнедеятельности, обусловленных заболеваниями, в том числе специальных мероприятий по подготовке к протезированию, ортезированию, производству (изготовлению), подгонке (настройке) протезно-ортопедических изделий, обучение инвалидов безопасному и эффективному пользованию протезно-ортопедическими изделиями, предоставление инвалидам протезно-ортопедических изделий, а также техническое обслуживание, ремонт, замена таких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протезирование инвалидов - комплекс мероприятий и услуг, направленных на возможно более полную компенсацию ограничений жизнедеятельности инвалидов путем замены утраченных или необратимо поврежденных сегментов конечностей, головы и (или) туловища протезами, включая глазные протезы, реабилитационные мероприятия и услуги по отдельным основным направлениям реабилитации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- реабилитационное мероприятие, заключающееся в проработке индивидуальных вопросов, касающихся реабилитации и абилитации инвалида в рамках различных реабилитационных направлений (социально-средовая, социально-педагогическая, социально-психологическая, социально-бытовая реабилитация и абилитация, протезирование и ортезирование), постановке конкретных целей, запланированных в рамках проведения реабилитационного курса, обсуждении с инвалидом (законным (уполномоченным) представителем) ожидаемых результатов, дальнейших реабилитационных планов и перспектив в целях социальной адаптации и интеграции инвалида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- структурно-функциональная единица организации, оказывающей услуги по протезированию, организованная на функциональной основе и объединяющая специалистов медицинского и немедицинского профиля, входящих в состав обязательных специалистов стандарта, с возможностью привлечения рекомендуемых специалистов для оказания инвалиду реабилитационных (абилитационных) услуг по протезированию на основе комплексного междисциплинарного подхода;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услуги, и наличие которых у поставщиков услуги по протезированию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ОДА - опорно-двигательный аппарат;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первичное протезирование (нижней конечности) - протезирование инвалида впервые после ампутации конечности, проводимое с целью подготовки (формирования) культи к нагрузкам, а также приобретения навыков ходьбы (обучения) с использованием постоянного протеза с заменой приемной гильзы по мере изменения размеров культи;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первичное протезирование (верхней конечности) - протезирование инвалида впервые после ампутации верхней конечности, проводимое с целью подготовки (формирования) культи, а также приобретения навыков самообслуживания (обучения) с использованием протеза с заменой приемной гильзы по мере изменения размеров культи;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ПОИ - протезно-ортопедическое изделие;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постоянное (повторное) протезирование - протезирование инвалида со сформированной культей конечности с использованием постоянного протеза;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услуги - инвалид, имеющий в индивидуальной программе реабилитации и абилитации инвалида заключение о нуждаемости в проведении мероприятий по направлению комплексной реабилитации и абилитации "Протезно-ортопедическая помощь инвалидам" (протезирование);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 услуги по протезированию - организация, независимо от организационно-правовой формы, формы собственности и ведомственной принадлежности, осуществляющая деятельность по отдельному основному направлению комплексной реабилитации и абилитации инвалидов "Протезно-ортопедическая помощь инвалидам" в соответствии со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приемная гильза - узел или элемент протеза конечности, изготовленный по индивидуальным параметрам инвалида, предназначенный для размещения в нем культи или пораженной конечности и обеспечивающий взаимодействие человека с протезом конечности;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конечности - техническое средство реабилитации, заменяющее частично или полностью отсутствующую конечность и служащее для восполнения косметического и (или) функционального дефектов;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протезирование верхней (верхних) конечности (конечностей) - услуга, заключающаяся в проведении комплекса медицинских, технических и организационных мероприятий, направленных на восстановление функциональных возможностей инвалида, осуществляемая с использованием замены утраченной (утраченных) верхней (верхних) конечности (конечностей) протезом (протезами), с максимальным сохранением индивидуальных особенностей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протезирование нижней (нижних) конечности (конечностей) - услуга, заключающаяся в проведении комплекса медицинских, технических и организационных мероприятий, направленных на восстановление способности к передвижению и других функциональных возможностей инвалида, осуществляемая посредством замены утраченной (утраченных) нижней (нижних) конечности (конечностей) протезом (протезами), с максимальным сохранением индивидуальных особенностей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устройства (технические средства реабилитации, вспомогательные средства, в том числе приборы, аппаратура, приспособления), используемые при выполнении действий при оказании услуги по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протезирования верхней конечности - степень восполнения утраченных мануальных функций и компенсации косметического дефекта инвалида с ампутацией и (или) недоразвитии верхней конечности, обеспечивающей расширение социально-бытовой деятельности, формирование или восстановление способности к самообслуживанию, обеспечивающая интеграцию его в общество (возвращение к бытовой, трудовой, общественной жизни);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протезирования нижней конечности - степень восполнения утраченных опорно-двигательных функций инвалида с ампутацией и (или) недоразвитии нижней (нижних) конечности (конечностей), обеспечивающая интеграцию его в общество (возвращение к бытовой, трудовой, общественной жизни);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услуги, и способствовать повышению качества предоставления услуги, но их наличие у поставщика услуги по протезированию не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целевая реабилитационная группа.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Наименование ЦРГ инвалидов, в отношении которых применяется стандарт: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4 - инвалиды с преимущественными нарушениями нейромышечных, скелетных и связанных с движением (статодинамических) функций;</w:t>
      </w:r>
    </w:p>
    <w:bookmarkStart w:id="89" w:name="P89"/>
    <w:bookmarkEnd w:id="8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4.3 - инвалиды вследствие врожденного или приобретенного отсутствия одной верхней конечности;</w:t>
      </w:r>
    </w:p>
    <w:bookmarkStart w:id="90" w:name="P90"/>
    <w:bookmarkEnd w:id="9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4.4 - инвалиды вследствие врожденного или приобретенного отсутствия обеих верхних конечностей;</w:t>
      </w:r>
    </w:p>
    <w:bookmarkStart w:id="91" w:name="P91"/>
    <w:bookmarkEnd w:id="9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4.5 - инвалиды вследствие врожденного или приобретенного отсутствия одной нижней конечности;</w:t>
      </w:r>
    </w:p>
    <w:bookmarkStart w:id="92" w:name="P92"/>
    <w:bookmarkEnd w:id="9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4.6 - инвалиды вследствие врожденного или приобретенного отсутствия обеих нижних конечностей.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Форма оказания услуги: стационарная, полустационарная.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Стационарная форма - в условиях круглосуточного пребывания, в том числе с сопровождающим лицом в случае невозможности получения услуги в полустационарной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Полустационарная форма предусматривает пребывание инвалида в определенное время суток в условиях дневного стационара в случае возможности посещения инвалидом поставщика услуги по протезированию с учетом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При реализации стандарта медицинская помощь может оказываться в следующих условиях &lt;2&gt;: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2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Статья 32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амбулаторно (в условиях, не предусматривающих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стационарно (в условиях, обеспечивающих круглосуточное медицинское наблюдение и лечение).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Услуга оказывается инвалидам, имеющим в ИПРА заключение о нуждаемости в проведении мероприятий по протезированию.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Поставщик услуги по протезированию осуществляет медицинскую деятельность на основании лицензии на осуществление медицинской деятельности, выданной в порядке, установленном законодательством Российской Федерации о лицензировании отдельных видов деятельности, в отношении отдельных видов работ (услуг), составляющих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предоставлении услуги соблюдаются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с учетом общей цели реабилитации,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на каждого инвалида документации при оказании услуг по отдельным основным направлениям комплексной реабилитации и абилитации инвалидов &lt;3&gt; и иной документации, включая медицинскую (заказа, учетной и отчетной документации) (далее - документация по протезированию);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4</w:t>
        </w:r>
      </w:hyperlink>
      <w:r>
        <w:rPr>
          <w:sz w:val="24"/>
        </w:rPr>
        <w:t xml:space="preserve"> Федерального закона N 181-ФЗ.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контроль качества протеза перед выдачей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может оказываться как изолированно, так и в комплексе с реабилитационными услугами других основных направлений комплексной реабилитации и абилитации, в которых нуждается инвалид.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Содержание, продолжительность и кратность мероприятий, входящих в состав услуги, зависят от вида и степени выраженности нарушений функций ОДА, а также вида ТСР с учетом способа управления протезом и уровня ампутации конечности: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верхней: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пальца 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кисти косметический,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предплечья 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плеча 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кисти рабочий,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предплечья рабочий;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плеча рабочий;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кисти активный (тяговый),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предплечья активный (тяговый);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плеча активный (тяговый);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кисти с микропроцессорным управлением,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предплечья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плеча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после вычленения плеча с электромеханическим приводом и контактной системой 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после вычленения плеча функционально-косметический;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нижней: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стопы;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голени для купания;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бедра для купания;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голени немодульный,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бедра немодульный,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при вычленении бедра немодульный;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голени 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бедра 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при вычленении бедра модульный;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бедра модульный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при вычленении бедра модульный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голени модульный, в том числе при врожденном недоразвитии, с модулем стопы с микропроцессорным управлением.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Услуга оказывается поставщиком услуги по протезированию при наличии: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в соответствии с которыми организация осуществляет свою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здания, прилегающей территории, помещений поставщика услуги по протезированию в соответствии с действующими требованиями доступности зданий и сооружений для маломобильных групп населения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4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2015 г.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 (зарегистрирован Министерством юстиции Российской Федерации 17 сентября 2015 г., регистрационный N 38897)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 (далее - приказ Минтруда России N 527н).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помещений, оснащения и оборудования, необходимых для обследования инвалида, подготовки к протезированию (кабинет (кабинеты) врача (врачей), кабинет физиотерапии, зал для занятий лечебной физкультурой, кабинет механотерапии), производства (изготовления), подгонки (настройки) протезно-ортопедических изделий, обучения инвалидов безопасному и эффективному пользованию протезно-ортопедическими изделиями, предоставления инвалидам протезно-ортопедических изделий, а также ремонта, сервисного обслуживания, соответствующих установленным требованиям;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специального оснащения поставщика услуги по протезированию (оборудование, приборы, аппаратура, измерительный инструмент, транспорт для выездного сервисного обслуживания, материалы и полуфабрикаты для изготовления ПОИ), применяемого в процессе протезирования;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укомплектованности поставщика услуги по протезированию специалистами соответствующей квалификации для изготовления ПОИ;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технической документации на все виды изготавливаемых протезов;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маркировки на узлах (модулях) протеза и документов, подтверждающих безопасность для жизни и здоровья инвалида и окружающей среды;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сопровождения инвалида законным (уполномоченным) представителем (при необходимости).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Поставщик услуги по протезированию должен иметь: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обязательных специалистов - в штате организации; рекомендуемых специалистов, в случае их отсутствия в штате возможно привлекать на основании гражданско-правового договора или на основании договора оказания услуг с юридическим лицом, имеющим в штате таких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на праве собственности или ином законном основании, необходимые для оказания услуги и отвечающих установленным санитарным </w:t>
      </w:r>
      <w:hyperlink w:history="0" r:id="rId35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правилам</w:t>
        </w:r>
      </w:hyperlink>
      <w:r>
        <w:rPr>
          <w:sz w:val="24"/>
        </w:rPr>
        <w:t xml:space="preserve"> (СП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24.12.2020 N 44 (зарегистрировано Министерством юстиции Российской Федерации 30 декабря 2020 г., регистрационный N 61953) с изменениями, внесенными постановлениями Главного государственного врача Российской Федерации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срок действия - до 01.01.2027).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Поставщик услуги должен обеспечить в соответствии с установленными требованиями &lt;5&gt; доступность зданий, строений, сооружений и (или) помещений, а также прилегающей территории для инвалидов и других маломобильных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Требования обеспечения доступности установлены </w:t>
      </w:r>
      <w:hyperlink w:history="0" r:id="rId36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N 527н.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Поставщик услуги должен обеспечить 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обучение), в соответствии с требованиями Федерального </w:t>
      </w:r>
      <w:hyperlink w:history="0" r:id="rId3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181-ФЗ на территорию и объекты поставщика услуги по протезированию,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услуг по протезированию (при необходимости и согласии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При реализации положений стандарта в части проведения мероприятия по подготовке к протезированию возможно привлечение организации (юридического лица) по договору оказания услуг, имеющей соответствующих специалистов и оборудование, а также имеющей лицензии по соответствующему виду медицинской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Услуга оказывается междисциплинарной командой.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формируется персонифицировано с учетом общей цели реабилитации в соответствии с рекомендациями в ИПРА и конкретной цели протезирования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функции междисциплинарной команды входит: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реабилитационного прогноза инвалида на основе анализа клинико-функциональных, социально-бытовых, профессионально-трудовых и психологических данных, в целях компенсации возможных ограничений жизнедеятельности (способность к самостоятельному передвижению, самообслуживанию, общению, трудовой деятельности), формирование цели и задач услуги по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временных противопоказаний к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установление вида, состава и объема мероприятий по подготовке к протезированию, в зависимости от вида протезирования (первичное, повторное), физического и психологического состояния инвалида, необходимости проведения реконструктивной хирургии и медицинской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перечня мероприятий по обучению инвалида безопасному и эффективному пользованию ПОИ;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конструкции протеза, предоставление инвалиду информации о конструкции протеза и его функциях;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документации по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мероприятий по обучению реабилитационным навыкам для применения их инвалидом в домашних условиях (самостоятельных занятий по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реабилитационной эффективности протезирования (оценка состояния ОДА инвалида, итоги реализации мероприятий по протезированию);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заключения и рекомендации по дальнейшей тактике ведения инвалида (наблюдение, определение необходимости замены узлов протезов по мере изменения параметров культи, досрочной замены протеза, проведения дополнительных курсов проведения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комиссионное оформление и ведение документации по протезированию, включая консультации врачей-специалистов для каждого инвалида, иной документации, включая медицинскую (заказа, учетной и отчетной документации).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может выполнять функции в режиме выездной бригады. Объем работ определяется условиями контракта по протезированию и обеспечению инвалида протезом (протезами).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Требования к профессиональной подготовке и квалификации персонала поставщика услуги по протезированию по профессиям, должностям, специальностям определяются на основании Единого тарифно-квалификационного справочника работ и профессий рабочих, выпуск 16, </w:t>
      </w:r>
      <w:hyperlink w:history="0" r:id="rId38" w:tooltip="Постановление Минтруда РФ от 05.03.2004 N 38 &quot;Об утверждении Единого тарифно-квалификационного справочника работ и профессий рабочих, выпуск 16, раздел &quot;Производство медицинского инструмента, приборов и оборудования&quot;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"Производство медицинского инструмента, приборов и оборудования", утвержденного постановлением Министерства труда и социального развития Российской Федерации от 5 марта 2004 г. N 38 (ЕТКС), Единого квалификационного справочника должностей руководителей, специалистов и служащих, </w:t>
      </w:r>
      <w:hyperlink w:history="0" r:id="rId39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здравоохранения", утвержденного приказом Министерства здравоохранения и социального развития Российской Федерации от 23 июля 2010 г. N 541н (зарегистрирован Министерством юстиции Российской Федерации 25 августа 2010 г., регистрационный N 18247)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 (ЕКС), Общероссийского </w:t>
      </w:r>
      <w:hyperlink w:history="0" r:id="rId40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профессий рабочих, должностей служащих и тарифных разрядов ОК 016-94, введенного в действие постановлением Госстандарта России от 26 декабря 1994 г. N 367, </w:t>
      </w:r>
      <w:hyperlink w:history="0" r:id="rId41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Минздрава России N 205н.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3742"/>
        <w:gridCol w:w="3458"/>
      </w:tblGrid>
      <w:tr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привлекаемые к реализации услуг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212" w:tooltip="&lt;6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">
              <w:r>
                <w:rPr>
                  <w:sz w:val="24"/>
                  <w:color w:val="0000ff"/>
                </w:rPr>
                <w:t xml:space="preserve">&lt;6&gt;</w:t>
              </w:r>
            </w:hyperlink>
          </w:p>
        </w:tc>
      </w:tr>
      <w:tr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74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Обязательные специалисты</w:t>
            </w:r>
          </w:p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Врач-травматолог-ортопед/врач-хирург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лечебной физкультуре/инструктор-методист по лечебной физкультуре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74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Рекомендуемые специалисты</w:t>
            </w:r>
          </w:p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Врач-терапевт/врач общей практики/врач-невролог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Шорник по изготовлению и отделке ПОИ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12" w:name="P212"/>
    <w:bookmarkEnd w:id="2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154"/>
        <w:gridCol w:w="1644"/>
        <w:gridCol w:w="3515"/>
        <w:gridCol w:w="3515"/>
      </w:tblGrid>
      <w:tr>
        <w:tc>
          <w:tcPr>
            <w:tcW w:w="56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 услуги</w:t>
            </w:r>
          </w:p>
        </w:tc>
        <w:tc>
          <w:tcPr>
            <w:gridSpan w:val="2"/>
            <w:tcW w:w="7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Врач-терапевт/врач общей практики/врач-невролог; медицинская сестра по массажу; инструктор-методист по адаптивной физической культуре и адаптивному спорту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20. Содержание мероприятий, входящих в состав услуги по протезированию верхних конечностей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261"/>
        <w:gridCol w:w="5978"/>
        <w:gridCol w:w="2665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59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59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состояния инвалида, анализ ИПРА, медицинской документации (заключений врачей-специалистов при необходимости), проведение антропометрических измерений, исследование толерантности к физической нагрузке;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временных противопоказаний к протезированию.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При назначении инвалиду протеза верхней конечности с микропроцессорным управлением (МПУ) показано проведение электромиографии с целью определения биоэлектрической активности мышц с заключением о наличии (идентификации) дифференцированных, достаточных по силе и амплитуде электрических сигналов с групп мышц (мышц-агонистов и мышц-антагонистов) для управляющих протезом с МПУ движений. При недостаточной активности мышц рекомендовать проведение курса электростимуляции);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консервативного лечения культи (при наличии временных противопоказаний к протезированию);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конструкции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разработка схемы построения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предоставление инвалиду информации о конструкции протеза, его функциональных возможностях и ограничениях, а также планируемом реабилитационном эффекте;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культи средствами лечебной физкультуры (ЛФК) и физиотерапии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59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модели приемной гильзы: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по гипсовой технологии: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снятие слепка;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изготовление негатива усеченного сегмента конечности;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изготовление модели (позитива) усеченного сегмента;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по аддитивной технологии: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сканирование усеченного сегмента;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моделирование приемной гильзы, получение электронной цифровой модели;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приемной (тестовой или постоянной) гильзы, в том числе методом 3D печати или иного средства соединения усеченного сегмента с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 первичном протезировании приемной (тестовой или постоянной)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 приемной гильзы (тестовой или постоянной);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узлов (модулей) и других составляющих протеза, обеспечивающих заданные характеристики и параметры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протеза, настройка узла (узлов) (модулей), в том числе с микропроцессорным управлением;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врачебный контроль (осмотр и оценка состояния культи) в процессе протезирования;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протеза инвалиду для постоянного пользования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59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Примерка, установка и подгонка креплений протеза, пробная носка;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протеза с учетом особенностей культи и ОДА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настройка протеза с МПУ;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дополнительная подгонка протеза по результатам пользования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индивидуального режима пользования протезом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59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инвалида пользованию протезом:</w:t>
            </w:r>
          </w:p>
        </w:tc>
        <w:tc>
          <w:tcPr>
            <w:tcW w:w="266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978" w:type="dxa"/>
            <w:tcBorders>
              <w:top w:val="nil"/>
            </w:tcBorders>
          </w:tcPr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формирование стереотипа движений, освоение различных видов схватов для манипулирования предметами;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формирование навыков самообслуживания для выполнения необходимых бытовых и рабочих действий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</w:t>
            </w:r>
          </w:p>
        </w:tc>
        <w:tc>
          <w:tcPr>
            <w:tcW w:w="59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приемной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протеза и его ремонт в период действия гарантийного срока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21. Содержание мероприятий, входящих в состав услуги по протезированию нижних конечностей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261"/>
        <w:gridCol w:w="5896"/>
        <w:gridCol w:w="2665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589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58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состояния инвалида, анализ ИПРА, медицинской документации (заключений врачей-специалистов при необходимости), проведение антропометрических измерений, исследование толерантности к физической нагрузке;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временных противопоказаний к протезированию;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консервативного лечения культи (при наличии временных противопоказаний к протезированию);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конструкции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разработка схемы построения протеза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предоставление инвалиду информации о конструкции протеза, его функциональных возможностях и ограничениях, а также планируемом реабилитационном эффекте;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культи средствами ЛФК и физиотерапии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58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модели приемной гильзы: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по гипсовой технологии: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снятие слепка;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изготовление негатива усеченного сегмента конечности;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изготовление модели (позитива) усеченного сегмента конечности;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по аддитивной технологии: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сканирование усеченного сегмента;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моделирование приемной гильзы, получение электронной цифровой модели;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приемной (тестовой или постоянной) гильзы, в том числе методом 3D печати или иного средства соединения усеченного сегмента с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 приемной гильзы (тестовой или постоянной);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узлов (модулей) и других составляющих протеза, обеспечивающих заданные характеристики и параметры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протеза, настройка узла (узлов) (модулей), в том числе с микропроцессорным управлением, отделка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 первичном протезировании приемной (тестовой или постоянной)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врачебный контроль (осмотр и оценка состояния культи) в процессе протезирования;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протеза инвалиду для постоянного пользования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</w:t>
            </w:r>
          </w:p>
        </w:tc>
        <w:tc>
          <w:tcPr>
            <w:tcW w:w="58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Примерка, установка и подгонка креплений протеза, пробная носка;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протеза с учетом особенностей культи и ОДА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дополнительная подгонка и (или) замена приемной тестовой гильзы, коррекция схемы построения протеза по результатам ходьбы;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настройка протеза с микропроцессорным управлением;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индивидуального режима пользования протезом (на основании функциональных нагрузочных проб)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58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инвалида пользованию протезом: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формирование стереотипа движений, выработка навыков симметричной и ритмичной (сложно координированной) ходьбы на протезе нижней конечности (при первичном протезировании);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надевание (снятие) протеза, присаживание на стул и вставание, стояние, ходьба в брусьях, по лестнице и наклонной плоскости, по различным поверхностям (искусственная трава, гравий, песок и другое), передвижение с дополнительной опорой (трость, костыль, палки для "скандинавской" ходьбы), по наклонной поверхности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</w:t>
            </w:r>
          </w:p>
        </w:tc>
        <w:tc>
          <w:tcPr>
            <w:tcW w:w="589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приемной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протеза и его ремонт в период действия гарантийного срока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22. Показатели кратности мероприятий, входящих в состав услуги при первичном протезировании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268"/>
        <w:gridCol w:w="2041"/>
        <w:gridCol w:w="1834"/>
        <w:gridCol w:w="1814"/>
        <w:gridCol w:w="2324"/>
        <w:gridCol w:w="1928"/>
        <w:gridCol w:w="1191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122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44 - 79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44 - 79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28 - 70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88 - 156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28 - 70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88 - 156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  <w:r>
              <w:rPr>
                <w:sz w:val="24"/>
              </w:rPr>
              <w:t xml:space="preserve"> + </w:t>
            </w: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28 - 70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88 - 156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  <w:r>
              <w:rPr>
                <w:sz w:val="24"/>
              </w:rPr>
              <w:t xml:space="preserve"> + </w:t>
            </w: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42 - 105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130 - 235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  <w:r>
              <w:rPr>
                <w:sz w:val="24"/>
              </w:rPr>
              <w:t xml:space="preserve"> + </w:t>
            </w: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42 - 105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130 - 235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  <w:r>
              <w:rPr>
                <w:sz w:val="24"/>
              </w:rPr>
              <w:t xml:space="preserve"> + </w:t>
            </w: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48 - 72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56 - 140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20 - 28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48 - 72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173 - 313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23. Показатели кратности мероприятий, входящих в состав услуги при постоянном (повторном) протезировании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268"/>
        <w:gridCol w:w="2041"/>
        <w:gridCol w:w="1834"/>
        <w:gridCol w:w="1814"/>
        <w:gridCol w:w="2324"/>
        <w:gridCol w:w="1928"/>
        <w:gridCol w:w="1191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122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6 - 9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14 - 28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1 - 9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22 - 54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6 - 9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14 - 28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1 - 9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22 - 54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28 - 56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1 - 18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33 - 106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28 - 56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1 - 18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33 - 106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  <w:r>
              <w:rPr>
                <w:sz w:val="24"/>
              </w:rPr>
              <w:t xml:space="preserve"> + </w:t>
            </w: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28 - 56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1 - 18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33 - 106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  <w:r>
              <w:rPr>
                <w:sz w:val="24"/>
              </w:rPr>
              <w:t xml:space="preserve"> + </w:t>
            </w: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18 - 27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42 - 84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1 - 27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77 - 160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  <w:r>
              <w:rPr>
                <w:sz w:val="24"/>
              </w:rPr>
              <w:t xml:space="preserve"> + </w:t>
            </w: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18 - 27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42 - 84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1 - 27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77 - 160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268" w:type="dxa"/>
          </w:tcPr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  <w:r>
              <w:rPr>
                <w:sz w:val="24"/>
              </w:rPr>
              <w:t xml:space="preserve"> + </w:t>
            </w: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56 - 112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20 - 28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1 - 36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102 - 212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both"/>
      </w:pPr>
      <w:r>
        <w:rPr>
          <w:sz w:val="24"/>
        </w:rPr>
        <w:t xml:space="preserve">24. Показатели продолжительности мероприятий, входящих в состав услуги</w:t>
      </w:r>
    </w:p>
    <w:p>
      <w:pPr>
        <w:sectPr>
          <w:headerReference w:type="default" r:id="rId42"/>
          <w:headerReference w:type="first" r:id="rId42"/>
          <w:footerReference w:type="default" r:id="rId43"/>
          <w:footerReference w:type="first" r:id="rId43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6406"/>
        <w:gridCol w:w="2098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4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одного мероприятия, ч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406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406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406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40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406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 для оказания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3402"/>
        <w:gridCol w:w="3969"/>
        <w:gridCol w:w="2721"/>
        <w:gridCol w:w="2098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4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групп реабилитационного оборудования </w:t>
            </w:r>
            <w:hyperlink w:history="0" w:anchor="P919" w:tooltip="&lt;7&gt; Наименования групп реабилитационного оборудования приведены в соответствие с разделами 5 и 6 ГОСТ Р 59904-2021 &quot;Национальный стандарт Российской Федерации. Оснащение организаций, оказывающих услуги по протезированию и ортезированию. Общие требования&quot;, введенного в действие приказом Федерального агентства по техническому регулированию и метрологии от 29 ноября 2021 г. N 1630-ст (М.: Российский институт стандартизации, 2021)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39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вспомогательных средств и ТСР </w:t>
            </w:r>
            <w:hyperlink w:history="0" w:anchor="P920" w:tooltip="&lt;8&gt; Наименования вспомогательных средств и код вида/класса вспомогательных средств и технических средств реабилитации приведены в соответствии с разделом 6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сии N 4н.">
              <w:r>
                <w:rPr>
                  <w:sz w:val="24"/>
                  <w:color w:val="0000ff"/>
                </w:rPr>
                <w:t xml:space="preserve">&lt;8&gt;</w:t>
              </w:r>
            </w:hyperlink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вида/класса </w:t>
            </w:r>
            <w:hyperlink w:history="0" w:anchor="P920" w:tooltip="&lt;8&gt; Наименования вспомогательных средств и код вида/класса вспомогательных средств и технических средств реабилитации приведены в соответствии с разделом 6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сии N 4н.">
              <w:r>
                <w:rPr>
                  <w:sz w:val="24"/>
                  <w:color w:val="0000ff"/>
                </w:rPr>
                <w:t xml:space="preserve">&lt;8&gt;</w:t>
              </w:r>
            </w:hyperlink>
            <w:r>
              <w:rPr>
                <w:sz w:val="24"/>
              </w:rPr>
              <w:t xml:space="preserve"> (при наличии)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обследовании инвалида, контроля качества оказания услуги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Кресло-коляска с ручным приводом и дополнительным силовым блоком</w:t>
            </w:r>
          </w:p>
        </w:tc>
        <w:tc>
          <w:tcPr>
            <w:tcW w:w="2721" w:type="dxa"/>
          </w:tcPr>
          <w:p>
            <w:pPr>
              <w:pStyle w:val="0"/>
            </w:pPr>
            <w:hyperlink w:history="0" r:id="rId4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12 22 12</w:t>
              </w:r>
            </w:hyperlink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</w:t>
            </w:r>
          </w:p>
        </w:tc>
        <w:tc>
          <w:tcPr>
            <w:tcW w:w="2721" w:type="dxa"/>
          </w:tcPr>
          <w:p>
            <w:pPr>
              <w:pStyle w:val="0"/>
            </w:pPr>
            <w:hyperlink w:history="0" r:id="rId4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12 06 03</w:t>
              </w:r>
            </w:hyperlink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Костыли с подлокотниками;</w:t>
            </w:r>
          </w:p>
        </w:tc>
        <w:tc>
          <w:tcPr>
            <w:tcW w:w="2721" w:type="dxa"/>
            <w:tcBorders>
              <w:bottom w:val="nil"/>
            </w:tcBorders>
          </w:tcPr>
          <w:p>
            <w:pPr>
              <w:pStyle w:val="0"/>
            </w:pPr>
            <w:hyperlink w:history="0" r:id="rId4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костыли подмышечные</w:t>
            </w:r>
          </w:p>
        </w:tc>
        <w:tc>
          <w:tcPr>
            <w:tcW w:w="2721" w:type="dxa"/>
            <w:tcBorders>
              <w:top w:val="nil"/>
            </w:tcBorders>
          </w:tcPr>
          <w:p>
            <w:pPr>
              <w:pStyle w:val="0"/>
            </w:pPr>
            <w:hyperlink w:history="0" r:id="rId4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Трости (регулируемые, с подлокотниками)</w:t>
            </w:r>
          </w:p>
        </w:tc>
        <w:tc>
          <w:tcPr>
            <w:tcW w:w="2721" w:type="dxa"/>
          </w:tcPr>
          <w:p>
            <w:pPr>
              <w:pStyle w:val="0"/>
            </w:pPr>
            <w:hyperlink w:history="0" r:id="rId4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12 03 03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Негатоскоп медицинский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238840, 238570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Подоскоп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202150, 238570, 238840, 248490, 248490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Уровень лазерный/нивелир/установка лазерная для контроля качества сборки протезов и ортезов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Отвес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Уровень/ватерпас для таза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Весы напольные (электронные, механические)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258800, 258840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Ростомер медицинский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157600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Лента измерительная, многоразового использования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105620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мерных клиньев (дощечек)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Угломер складной (или гониометр)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181060, 181270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Электромиограф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292080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Облучатель ультрафиолетовый бактерицидный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131980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Очиститель воздуха фильтрующий высокоэффективный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152690, 1527006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 для измерения артериального давления электрический с ручным нагнетением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122830, 122850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 для проведения мероприятий по подготовке к протезированию</w:t>
            </w:r>
          </w:p>
        </w:tc>
        <w:tc>
          <w:tcPr>
            <w:tcW w:w="396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мягких модулей для зала лечебной физкультуры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Гимнастический инвентарь (утяжелители, палки, гантели, фитболы, эластичные ленты)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электростимуляции для улучшения ходьбы, внешняя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156650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для пассивной/активной разработки тазобедренного/коленного сустава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102930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для пассивной разработки плечевого/локтевого сустава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208810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ультразвуковая для физиотерапии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182600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глубокой электромагнитной стимуляции тканей, профессиональная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285040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Лазер для физиотерапии/опорно-двигательной системы, профессиональный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317670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Облучатель ультрафиолетовый бактерицидный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131980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 физиотерапевтическая чрескожной электрической нейромиостимуляции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181480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 транскраниальной электростимуляции, импульсная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276000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последовательностной венозной компрессии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157940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обучении пользованию протезом верхних конечностей</w:t>
            </w:r>
          </w:p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Блок для йоги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</w:p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Бодибар (палка гимнастическая)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Большой гимнастический мяч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Гантели наборные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Тренажер для спины гребной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107510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Зеркала настенные (высокие), настольные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Универсальный эспандер ленточный/фитнес-резинки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Набор гантелей виниловых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Блоковые тренажеры - кроссовер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Блочная рама, нижняя/верхняя тяга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Манжета-утяжелитель для рук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Набор резиновых мячиков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Тренажеры для пальцев рук и кисти (змейка, спираль, ротационный тренажер или аналоги)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Штанга для фитнеса разборная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 для занятий с регулировкой высоты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Лепная масса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Материал для рисования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обучении пользованию протезом нижних конечностей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Платформа для системы стабилографии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228390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  <w:p>
            <w:pPr>
              <w:pStyle w:val="0"/>
            </w:pP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Балансировочная платформа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Блок для йоги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Бодибар (палка гимнастическая)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Большой гимнастический мяч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Гантели наборные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Гребной тренажер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Зеркала настенные (высокие), настольные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Коврик для йоги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116920, 116940, 116990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Универсальный эспандер ленточный/фитнес-резинки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Набор гантелей виниловых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122810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восстановления функции ходьбы в виде беговой дорожки/эллиптического тренажера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147370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Тренажер в виде параллельных брусьев для тренировки ходьбы, без электропитания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213860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Горка для ходьбы реабилитационная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Кегли для физкультуры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Костыль с опорой под локоть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302470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Костыль подмышечный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207290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Манжета-утяжелитель для ног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Мяч волейбольный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Треккинговые палки (палки для скандинавской ходьбы)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Усеченный (круглый) валик для массажа (материал - кожзаменитель)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Ходунки опорные бариатрические (без колес)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131030, 131130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Велотренажер (при всех типах ампутаций, кроме парной ампутации)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140800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подвесная реабилитационная для вертикализации/подвесная потолочная система (при парной ампутации нижних конечностей)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подъема и перемещения пациента с помощью верхних направляющих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172880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Комплексная медицинская реабилитационная станция с комплектом мягких модулей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анализа нервно-мышечной функции, с отслеживанием движения (для оценки биомеханики движений на протезе)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240770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реабилитации виртуальная, без поддержки, клиническая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324120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оформлении заказа и снятии мерок</w:t>
            </w:r>
          </w:p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при стоянии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116920, 116940, 116990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снятии гипсовых слепков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 для гипсования (устройство для снятия негатива)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Мерные дощечки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Клинья прижимные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переноса размеров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Термошкаф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Тумбочка для гипсовых бинтов и комплектующих или шкаф для хранения гипсовых бинтов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Стеллаж для слепков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Емкость для намачивания гипсовых бинтов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Сосуд с крышкой с вазелином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Тара для гипсовых отходов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Опора при стоянии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Раковина для ног (душевая кабина)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работе с гипсом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 для гипсового моделирования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(тиски) для фиксации гипсовых позитивов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с песком для фиксации гипсового негатива при заливке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Термошкаф для сушки гипсовых позитивов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Бункер/дозатор для гипса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 для обработки гипсовых позитивов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для приготовления гипсового раствора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изготовлении приемной гильзы по аддитивной технологии</w:t>
            </w:r>
          </w:p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Компьютер с программным продуктом 3D моделирования приемной гильзы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3D-принтер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изготовлении приемной гильзы</w:t>
            </w:r>
          </w:p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Из листового термопласта: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 раскройный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Термостол или термошкаф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фиксации гипсовых позитивов (верстак или стойка с тисками)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Набор для глубокой вытяжки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Насос вакуумный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Пила дисковая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Компрессор мобильный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Ножницы рычажные листовые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Прочий ручной инструмент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Из литьевого слоистого пластика: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 рабочий с тисками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Стол для раскроя и укладки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Установка вакуумная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Термопечь с вакуумом/автоклав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Верстак с тумбочкой с выдвижными ящиками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Весы электронные настольные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вытяжной для замешивания литьевых смол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вытяжной для работы с препрегами и материалами из карбона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Морозильный ларь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Из силикона: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Верстак с тисками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Вальцы для силикона (электрические, механические)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Камера холодильная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Рулетка измерительная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40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механической обработке, сборке и подгонке протеза</w:t>
            </w:r>
          </w:p>
        </w:tc>
        <w:tc>
          <w:tcPr>
            <w:tcW w:w="396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Станок шлифовально-фрезерный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Станок сверлильный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точильный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Станок ленточно-пильный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ленточно-шлифовальный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для стружкоотсоса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компрессорная для удаления позитива из гильзы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Ножницы рычажные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Фен технический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Насадки силиконовые для обработки термопластов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сборки протезов и (или) ортезов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лазерная для контроля качества сборки протезов и ортезов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42"/>
          <w:headerReference w:type="first" r:id="rId42"/>
          <w:footerReference w:type="default" r:id="rId43"/>
          <w:footerReference w:type="first" r:id="rId4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919" w:name="P919"/>
    <w:bookmarkEnd w:id="9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Наименования групп реабилитационного оборудования приведены в соответствие с </w:t>
      </w:r>
      <w:hyperlink w:history="0" r:id="rId49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разделами 5</w:t>
        </w:r>
      </w:hyperlink>
      <w:r>
        <w:rPr>
          <w:sz w:val="24"/>
        </w:rPr>
        <w:t xml:space="preserve"> и </w:t>
      </w:r>
      <w:hyperlink w:history="0" r:id="rId50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ГОСТ Р 59904-2021 "Национальный стандарт Российской Федерации. Оснащение организаций, оказывающих услуги по протезированию и ортезированию. Общие требования", введенного в действие </w:t>
      </w:r>
      <w:hyperlink w:history="0" r:id="rId51" w:tooltip="Приказ Росстандарта от 29.11.2021 N 1630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ноября 2021 г. N 1630-ст (М.: Российский институт стандартизации, 2021).</w:t>
      </w:r>
    </w:p>
    <w:bookmarkStart w:id="920" w:name="P920"/>
    <w:bookmarkEnd w:id="92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Наименования вспомогательных средств и код вида/класса вспомогательных средств и технических средств реабилитации приведены в соответствии с </w:t>
      </w:r>
      <w:hyperlink w:history="0" r:id="rId5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разделом 6</w:t>
        </w:r>
      </w:hyperlink>
      <w:r>
        <w:rPr>
          <w:sz w:val="24"/>
        </w:rPr>
        <w:t xml:space="preserve"> ГОСТ Р ИСО 9999-2019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</w:t>
      </w:r>
      <w:hyperlink w:history="0" r:id="rId53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2019) и </w:t>
      </w:r>
      <w:hyperlink w:history="0" r:id="rId54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Минздрава России N 4н.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6406"/>
        <w:gridCol w:w="2041"/>
      </w:tblGrid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40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метода, технологии, методики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40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Методы физиотерапии: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tcW w:w="624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640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электромагнитотерапия;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фототерапия;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лечебный массаж;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потивоотечные методы (кинезиотейпирование или тугое бинтование культи);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термотерапия;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кинезотерапия;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водолечение, грязелечение;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640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баротерапия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40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Методы лечебной физкультуры: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tcW w:w="624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640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лечебная гимнастика;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гидротерапия;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640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механотерапия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40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Технологии изготовления протезов верхних конечностей</w:t>
            </w:r>
          </w:p>
          <w:p>
            <w:pPr>
              <w:pStyle w:val="0"/>
            </w:pPr>
            <w:r>
              <w:rPr>
                <w:sz w:val="24"/>
              </w:rPr>
              <w:t xml:space="preserve">(косметических, рабочих, активных, с микропроцессорным управлением):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hyperlink w:history="0" w:anchor="P89" w:tooltip="ЦРГ 4.3 - инвалиды вследствие врожденного или приобретенного отсутствия одной верхней конечности;">
              <w:r>
                <w:rPr>
                  <w:sz w:val="24"/>
                  <w:color w:val="0000ff"/>
                </w:rPr>
                <w:t xml:space="preserve">ЦРГ 4.3</w:t>
              </w:r>
            </w:hyperlink>
          </w:p>
          <w:p>
            <w:pPr>
              <w:pStyle w:val="0"/>
            </w:pPr>
            <w:hyperlink w:history="0" w:anchor="P90" w:tooltip="ЦРГ 4.4 - инвалиды вследствие врожденного или приобретенного отсутствия обеих верхних конечностей;">
              <w:r>
                <w:rPr>
                  <w:sz w:val="24"/>
                  <w:color w:val="0000ff"/>
                </w:rPr>
                <w:t xml:space="preserve">ЦРГ 4.4</w:t>
              </w:r>
            </w:hyperlink>
          </w:p>
        </w:tc>
      </w:tr>
      <w:tr>
        <w:tc>
          <w:tcPr>
            <w:tcW w:w="624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640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кисти;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предплечья;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плеча;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640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после вычленения плеча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40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Технологии изготовления протезов нижних конечностей</w:t>
            </w:r>
          </w:p>
          <w:p>
            <w:pPr>
              <w:pStyle w:val="0"/>
            </w:pPr>
            <w:r>
              <w:rPr>
                <w:sz w:val="24"/>
              </w:rPr>
              <w:t xml:space="preserve">(модульных, немодульных, с микропроцессорным управлением):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hyperlink w:history="0" w:anchor="P91" w:tooltip="ЦРГ 4.5 - инвалиды вследствие врожденного или приобретенного отсутствия одной нижней конечности;">
              <w:r>
                <w:rPr>
                  <w:sz w:val="24"/>
                  <w:color w:val="0000ff"/>
                </w:rPr>
                <w:t xml:space="preserve">ЦРГ 4.5</w:t>
              </w:r>
            </w:hyperlink>
          </w:p>
          <w:p>
            <w:pPr>
              <w:pStyle w:val="0"/>
            </w:pPr>
            <w:hyperlink w:history="0" w:anchor="P92" w:tooltip="ЦРГ 4.6 - инвалиды вследствие врожденного или приобретенного отсутствия обеих нижних конечностей.">
              <w:r>
                <w:rPr>
                  <w:sz w:val="24"/>
                  <w:color w:val="0000ff"/>
                </w:rPr>
                <w:t xml:space="preserve">ЦРГ 4.6</w:t>
              </w:r>
            </w:hyperlink>
          </w:p>
        </w:tc>
      </w:tr>
      <w:tr>
        <w:tc>
          <w:tcPr>
            <w:tcW w:w="624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640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стопы;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голени;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бедра;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640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после вычленения бедра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40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Методики обучения пользованию протезами: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hyperlink w:history="0" w:anchor="P88" w:tooltip="ЦРГ 4 - инвалиды с преимущественными нарушениями нейромышечных, скелетных и связанных с движением (статодинамических) функций;">
              <w:r>
                <w:rPr>
                  <w:sz w:val="24"/>
                  <w:color w:val="0000ff"/>
                </w:rPr>
                <w:t xml:space="preserve">ЦРГ 4</w:t>
              </w:r>
            </w:hyperlink>
          </w:p>
        </w:tc>
      </w:tr>
      <w:tr>
        <w:tc>
          <w:tcPr>
            <w:tcW w:w="624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640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протезами верхних конечностей;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W w:w="624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640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и коррекция ходьбы на протезах голени и бедра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Пособия для специалистов по протезированию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Реабилитация инвалидов: национальное руководство/под редакцией Г.Н. Пономаренко. - М.: ГЭОТАР-Медиа. 2018. - 736 с.: ил. -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Реабилитация инвалидов: национальное руководство. - М.: ГЭОТАР-Медиа, 2020. - 544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Физическая и реабилитационная медицина: национальное руководство/под редакцией Г.Н. Пономаренко. - М.: ГЭОТАР-Медиа. 2024. - 912 с.: ил. -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Физические методы лечения: справочник/под редакцией Пономаренко Г.Н - СПб, 2024. - 294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Методические рекомендации "Медицинская реабилитация и протезирование пациентов с ампутациями конечностей вследствие боевой травмы (издание 2 переработанное и дополненное)", 2024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Методические рекомендации по установлению медицинских показаний и противопоказаний при назначении специалистами медико-социальной экспертизы технических средств реабилитации инвалида и методика их рационального подбора. Издание третье переработанное и дополненное/Под редакцией О.С. Андреевой. - М.: Минтруда России, 2018. - 716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бедра с силиконовыми чехлами на короткую и среднюю культю (ПН6Э-3, ПН63-1). Практическое пособие/Ракетно-космическая корпорация "ЭНЕРГИЯ" имени С.П. Королева. - Москва, 2006. - 44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после вычленения в тазобедренном суставе (ПН8Э-1). Практическое пособие/Ракетно-космическая корпорация "ЭНЕРГИЯ" имени С.П. Королева - Москва, 2002. - 36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голени с силиконовыми чехлами на короткую и среднюю культю (ПН3Э-1) Практическое пособие/Ракетно-космическая корпорация "ЭНЕРГИЯ" имени С.П. Королева - Москва, 2006. - 45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голени на короткую, среднюю и длинную культю (ПН3Э-1, ПН3Э-) Практическое пособие/Ракетно-космическая корпорация "ЭНЕРГИЯ" имени С.П. Королева - Москва, 2001. - 38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предплечья на среднюю и короткую культю на основе каркасных кистей (ПР23-4, ПР23-5 ПР23-7). Практическое пособие/Ракетно-космическая корпорация "ЭНЕРГИЯ" имени С.П. Королева. - Москва, 2002. - 32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плеча на длинную, среднюю и короткую культю: ПР4Э-1, ПР4Э-2 ПР4Э-3 из модулей Г.Т. Руденко. ПР4Э-9 с каркасными кистями, Практическое пособие/Ракетно-космическая корпорация "ЭНЕРГИЯ" имени С.П. Королева, - Москва, 2003. - 45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предплечья конструкции Г.Т. Руденко на среднюю и короткую культю (ПР2Э-3). Практическое пособие/Ракетно-космическая корпорация "ЭНЕРГИЯ" имени С.П. Королева - Москва, 2002. - 33 с.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25. Результат реализации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в полном объеме (оказано запланированное количество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частично (не все запланированные мероприятия реализованы);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не реализованы.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26. Показатели качества и оценка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реабилитационного эффекта: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(по результатам оценки эффективности имеется положительная динамика, цели реабилитации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частично (имеется незначительная динамика, не все поставленные цели реабилитации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не достигнут (динамика отсутствует, цели реабилитации не достигнуты).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27. Методика оценки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Оценку результатов реализации услуги выполняют путем определения соответствия исполнения протеза требованиям технической документации, его соответствия функциональному (медицинскому), социальному (условия эксплуатации и потребности) назначению, а также моральному удовлетворению инвалида качеством оказания услуги </w:t>
      </w:r>
      <w:hyperlink w:history="0" w:anchor="P1023" w:tooltip="Таблица 1 - Оценка реализации услуги по протезированию верхних и (или) нижних конечностей">
        <w:r>
          <w:rPr>
            <w:sz w:val="24"/>
            <w:color w:val="0000ff"/>
          </w:rPr>
          <w:t xml:space="preserve">(таблица 1)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Результатом положительной оценки считать ответ "соответствует". В случае оценки "не соответствует" необходимо дать рекомендацию по устранению выявленных несоответствий технической документации.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023" w:name="P1023"/>
    <w:bookmarkEnd w:id="1023"/>
    <w:p>
      <w:pPr>
        <w:pStyle w:val="0"/>
        <w:jc w:val="both"/>
      </w:pPr>
      <w:r>
        <w:rPr>
          <w:sz w:val="24"/>
        </w:rPr>
        <w:t xml:space="preserve">Таблица 1 - Оценка реализации услуги по протезированию верхних и (или) нижних конечностей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69"/>
        <w:gridCol w:w="6633"/>
        <w:gridCol w:w="2270"/>
        <w:gridCol w:w="1873"/>
      </w:tblGrid>
      <w:tr>
        <w:tc>
          <w:tcPr>
            <w:tcW w:w="26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 оценки</w:t>
            </w:r>
          </w:p>
        </w:tc>
        <w:tc>
          <w:tcPr>
            <w:tcW w:w="66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Метод оценки</w:t>
            </w:r>
          </w:p>
        </w:tc>
        <w:tc>
          <w:tcPr>
            <w:tcW w:w="18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 оценки Соответствует/не соответствует</w:t>
            </w:r>
          </w:p>
        </w:tc>
      </w:tr>
      <w:tr>
        <w:tc>
          <w:tcPr>
            <w:tcW w:w="26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6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8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Технический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протеза требованиям технической документации: техническим условиям, технологической документации, контракту, формам документаций по протезированию</w:t>
            </w:r>
          </w:p>
        </w:tc>
        <w:tc>
          <w:tcPr>
            <w:tcW w:w="227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документам, инструментальный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соответствия протеза нижней конечности функциональному назначению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Возможность находиться в основных положениях (сидение, стояние, присаживание, вставание, наклоны туловища);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особенности ходьбы на протезе;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условия ходьбы по разным поверхностям;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возможность перемещения приставным шагом;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влияние протеза на культю;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компенсации косметического дефекта;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устойчивость системы "человек-протез";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протеза уровню анатомического дефекта нижней конечности</w:t>
            </w:r>
          </w:p>
        </w:tc>
        <w:tc>
          <w:tcPr>
            <w:tcW w:w="227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Клинический, 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комплектации протеза (приемной гильзы, модуля колена, искусственной стопы, крепления) персонифицированному подходу в назначении;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схемы построения протеза индивидуальным параметрам инвалида с обеспечением подкосоустойчивости, способности перераспределять нагрузку равномерно на искусственную и сохранную нижнюю конечность при определенных уровнях ампутации и опороспособности</w:t>
            </w:r>
          </w:p>
        </w:tc>
        <w:tc>
          <w:tcPr>
            <w:vMerge w:val="continue"/>
          </w:tcPr>
          <w:p/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Эксплуатационно-потребительский для протеза нижней конечности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4"/>
              </w:rPr>
              <w:t xml:space="preserve">Удобство надевания и снятия;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удобство и надежность крепления на культе;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сопротивление скольжению;</w:t>
            </w:r>
          </w:p>
          <w:p>
            <w:pPr>
              <w:pStyle w:val="0"/>
            </w:pPr>
            <w:r>
              <w:rPr>
                <w:sz w:val="24"/>
              </w:rPr>
              <w:t xml:space="preserve">управляемость протезом нижней конечности;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масса протеза;</w:t>
            </w:r>
          </w:p>
          <w:p>
            <w:pPr>
              <w:pStyle w:val="0"/>
            </w:pPr>
            <w:r>
              <w:rPr>
                <w:sz w:val="24"/>
              </w:rPr>
              <w:t xml:space="preserve">формоустойчивость приемной гильзы и косметической оболочки протеза;</w:t>
            </w:r>
          </w:p>
          <w:p>
            <w:pPr>
              <w:pStyle w:val="0"/>
            </w:pPr>
            <w:r>
              <w:rPr>
                <w:sz w:val="24"/>
              </w:rPr>
              <w:t xml:space="preserve">гибкость эластичных вкладных элементов приемной гильзы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Клинический, 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соответствия протеза верхней конечности функциональному назначению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протеза уровню анатомического дефекта верхней конечности (приобретенного и (или) врожденного);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компенсации косметического дефекта верхней конечности;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возможность выполнять заданные функции (раскрытие (закрытие) искусственной кисти, выполнение различных схватов, удержание предметов, перенос груза);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влияние протеза на культю;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комплектации протеза (приемной гильзы, искусственной кисти, узлов (модулей), крепления) персонифицированному подходу в назначении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Клинический, 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Эксплуатационно-потребительский для протеза верхней конечности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4"/>
              </w:rPr>
              <w:t xml:space="preserve">Удобство надевания и снятия;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удобство и надежность крепления на культе;</w:t>
            </w:r>
          </w:p>
          <w:p>
            <w:pPr>
              <w:pStyle w:val="0"/>
            </w:pPr>
            <w:r>
              <w:rPr>
                <w:sz w:val="24"/>
              </w:rPr>
              <w:t xml:space="preserve">управляемость протезом верхней конечности;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масса протеза;</w:t>
            </w:r>
          </w:p>
          <w:p>
            <w:pPr>
              <w:pStyle w:val="0"/>
            </w:pPr>
            <w:r>
              <w:rPr>
                <w:sz w:val="24"/>
              </w:rPr>
              <w:t xml:space="preserve">формоустойчивость приемной гильзы и косметической оболочки протеза;</w:t>
            </w:r>
          </w:p>
          <w:p>
            <w:pPr>
              <w:pStyle w:val="0"/>
            </w:pPr>
            <w:r>
              <w:rPr>
                <w:sz w:val="24"/>
              </w:rPr>
              <w:t xml:space="preserve">гибкость эластичных вкладных элементов приемной гильзы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Объем услуги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Состав, содержание и порядок оказания услуги по протезированию верхней и (или) нижней конечности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По документам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Гигиенический, (обеспечение оптимального функционирования культи в приемной гильзе)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обеспечивать терморегуляцию (поддержание определенной температуры), доступ воздуха и своевременное удаление продуктов распада жизнедеятельности человека (пота, углекислого газа), обеспечение санитарно-гигиенической обработки приемной гильзы и культи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Доступность услуги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Удобство расположения и простота доступа к услуге и простота пользования, возможность быстрой связи при возникновении проблем с изготовителем, организацией, оказывающей услугу по протезированию верхней и (или) нижней конечности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Доверительность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Репутационный ресурс поставщика услуги по протезированию, его пунктуальность в соблюдении сроков, гарантийных обязательств, постгарантийного сервиса и консультационной поддержки оказанной услуги по протезированию верхней и (или) нижней конечности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Компетентность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Понимание проблем пациента, связанных с заболеванием, ампутационным дефектом, утратой мобильности (способности к передвижению, самообслуживанию), наличием бытовых, профессиональных и социальных барьеров, способности к самообслуживанию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Надежность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предоставить услугу на высоком профессиональном уровне, качественно, в указанные сроки и с гарантийными обязательствами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Обеспечение безопасности (менеджмент рисков)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Отсутствие или минимизация рисков, связанных с техническими характеристиками протеза, обретением или дефицитом навыков пользования протезом и креплениями к протезу, навыков ухода за культей и протезом, применяемыми материалами и технологиями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По документам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Компетентность специалистов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у врачей и инструкторов по лечебной физкультуре навыков и знаний, необходимых для оказания услуги по протезированию нижней и (или) верхней конечности, включая обучение ходьбе на протезе, выполнению мануальных действий, наличие практических навыков профессиональных действий и решений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Коммуникабельность, доброжелательное отношение к получателю услуги по протезированию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выслушать и учитывать мнение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профессионально и деликатно информировать инвалида о технических характеристиках протеза, ожидаемом уровне восстановления мобильности, потребности в дополнительных ТСР при пользовании протезом, правилах ухода за культей и протезом, включая обучение законных (уполномоченных) представителей для соблюдения правил пользования и динамического наблюдения;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передача информации на доступном для понимания инвалида уровне, избегая сложный профессиональный понятийный набор терминов;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доброжелательно выслушать инвалида в случае обращения с жалобой;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оповещение пациента об изменениях, связанных с характером работы или технических изменениях;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достижение компромисса при оформлении информированного согласия на особенности этапов оказания услуги по протезированию и фиксацию результатов оценки протезирования (инструментального, фотовидеофиксация, цифровое 3D-сканирование)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</w:pPr>
            <w:r>
              <w:rPr>
                <w:sz w:val="24"/>
              </w:rPr>
              <w:t xml:space="preserve">Соблюдение принципов универсального дизайна для различных категорий граждан с инвалидностью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Обстановка и внешний вид помещений, оборудования, внешний вид персонала, наглядность и доступность информационных материалов для всех категорий пациентов, в том числе с нарушениями слуха, зрения;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визуальных и осязаемых характеристик для получателя услуги по протезированию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обучающих ресурсов пользованию протезами с соблюдением правил безопасности и ухода за изделиями</w:t>
            </w:r>
          </w:p>
        </w:tc>
        <w:tc>
          <w:tcPr>
            <w:tcW w:w="663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программ обучения пользованию протезами с соблюдением правил безопасности и ухода за изделиями</w:t>
            </w:r>
          </w:p>
        </w:tc>
        <w:tc>
          <w:tcPr>
            <w:tcW w:w="2270" w:type="dxa"/>
          </w:tcPr>
          <w:p>
            <w:pPr>
              <w:pStyle w:val="0"/>
            </w:pPr>
            <w:r>
              <w:rPr>
                <w:sz w:val="24"/>
              </w:rPr>
              <w:t xml:space="preserve">По документам</w:t>
            </w:r>
          </w:p>
        </w:tc>
        <w:tc>
          <w:tcPr>
            <w:tcW w:w="18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42"/>
      <w:headerReference w:type="first" r:id="rId42"/>
      <w:footerReference w:type="default" r:id="rId43"/>
      <w:footerReference w:type="first" r:id="rId43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18.06.2025 N 382н</w:t>
            <w:br/>
            <w:t>"Об утверждении Стандарта оказания услуги по протезированию инвалидов"</w:t>
            <w:br/>
            <w:t>(Заре...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18.06.2025 N 382н</w:t>
            <w:br/>
            <w:t>"Об утверждении Стандарта оказания услуги по протезированию инвалидов"</w:t>
            <w:br/>
            <w:t>(Заре...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02.08.2025&amp;dst=471&amp;field=134&amp;demo=2" TargetMode = "External"/>
	<Relationship Id="rId8" Type="http://schemas.openxmlformats.org/officeDocument/2006/relationships/hyperlink" Target="https://login.consultant.ru/link/?req=doc&amp;base=LAW&amp;n=483022&amp;date=02.08.2025&amp;dst=502&amp;field=134&amp;demo=2" TargetMode = "External"/>
	<Relationship Id="rId9" Type="http://schemas.openxmlformats.org/officeDocument/2006/relationships/hyperlink" Target="https://login.consultant.ru/link/?req=doc&amp;base=LAW&amp;n=465514&amp;date=02.08.2025&amp;demo=2" TargetMode = "External"/>
	<Relationship Id="rId10" Type="http://schemas.openxmlformats.org/officeDocument/2006/relationships/hyperlink" Target="https://login.consultant.ru/link/?req=doc&amp;base=LAW&amp;n=495712&amp;date=02.08.2025&amp;dst=100440&amp;field=134&amp;demo=2" TargetMode = "External"/>
	<Relationship Id="rId11" Type="http://schemas.openxmlformats.org/officeDocument/2006/relationships/hyperlink" Target="https://login.consultant.ru/link/?req=doc&amp;base=LAW&amp;n=500417&amp;date=02.08.2025&amp;dst=100011&amp;field=134&amp;demo=2" TargetMode = "External"/>
	<Relationship Id="rId12" Type="http://schemas.openxmlformats.org/officeDocument/2006/relationships/hyperlink" Target="https://login.consultant.ru/link/?req=doc&amp;base=LAW&amp;n=481937&amp;date=02.08.2025&amp;dst=100023&amp;field=134&amp;demo=2" TargetMode = "External"/>
	<Relationship Id="rId13" Type="http://schemas.openxmlformats.org/officeDocument/2006/relationships/hyperlink" Target="https://login.consultant.ru/link/?req=doc&amp;base=LAW&amp;n=358709&amp;date=02.08.2025&amp;dst=100010&amp;field=134&amp;demo=2" TargetMode = "External"/>
	<Relationship Id="rId14" Type="http://schemas.openxmlformats.org/officeDocument/2006/relationships/hyperlink" Target="https://login.consultant.ru/link/?req=doc&amp;base=LAW&amp;n=358710&amp;date=02.08.2025&amp;demo=2" TargetMode = "External"/>
	<Relationship Id="rId15" Type="http://schemas.openxmlformats.org/officeDocument/2006/relationships/hyperlink" Target="https://login.consultant.ru/link/?req=doc&amp;base=LAW&amp;n=141047&amp;date=02.08.2025&amp;demo=2" TargetMode = "External"/>
	<Relationship Id="rId16" Type="http://schemas.openxmlformats.org/officeDocument/2006/relationships/hyperlink" Target="https://login.consultant.ru/link/?req=doc&amp;base=LAW&amp;n=502861&amp;date=02.08.2025&amp;demo=2" TargetMode = "External"/>
	<Relationship Id="rId17" Type="http://schemas.openxmlformats.org/officeDocument/2006/relationships/hyperlink" Target="https://login.consultant.ru/link/?req=doc&amp;base=LAW&amp;n=359764&amp;date=02.08.2025&amp;demo=2" TargetMode = "External"/>
	<Relationship Id="rId18" Type="http://schemas.openxmlformats.org/officeDocument/2006/relationships/hyperlink" Target="https://login.consultant.ru/link/?req=doc&amp;base=LAW&amp;n=195259&amp;date=02.08.2025&amp;demo=2" TargetMode = "External"/>
	<Relationship Id="rId19" Type="http://schemas.openxmlformats.org/officeDocument/2006/relationships/hyperlink" Target="https://login.consultant.ru/link/?req=doc&amp;base=LAW&amp;n=483328&amp;date=02.08.2025&amp;dst=100015&amp;field=134&amp;demo=2" TargetMode = "External"/>
	<Relationship Id="rId20" Type="http://schemas.openxmlformats.org/officeDocument/2006/relationships/hyperlink" Target="https://login.consultant.ru/link/?req=doc&amp;base=LAW&amp;n=307256&amp;date=02.08.2025&amp;demo=2" TargetMode = "External"/>
	<Relationship Id="rId21" Type="http://schemas.openxmlformats.org/officeDocument/2006/relationships/hyperlink" Target="https://login.consultant.ru/link/?req=doc&amp;base=LAW&amp;n=381815&amp;date=02.08.2025&amp;dst=100009&amp;field=134&amp;demo=2" TargetMode = "External"/>
	<Relationship Id="rId22" Type="http://schemas.openxmlformats.org/officeDocument/2006/relationships/hyperlink" Target="https://login.consultant.ru/link/?req=doc&amp;base=LAW&amp;n=433852&amp;date=02.08.2025&amp;dst=100011&amp;field=134&amp;demo=2" TargetMode = "External"/>
	<Relationship Id="rId23" Type="http://schemas.openxmlformats.org/officeDocument/2006/relationships/hyperlink" Target="https://login.consultant.ru/link/?req=doc&amp;base=LAW&amp;n=505406&amp;date=02.08.2025&amp;demo=2" TargetMode = "External"/>
	<Relationship Id="rId24" Type="http://schemas.openxmlformats.org/officeDocument/2006/relationships/hyperlink" Target="https://login.consultant.ru/link/?req=doc&amp;base=LAW&amp;n=509216&amp;date=02.08.2025&amp;demo=2" TargetMode = "External"/>
	<Relationship Id="rId25" Type="http://schemas.openxmlformats.org/officeDocument/2006/relationships/hyperlink" Target="https://login.consultant.ru/link/?req=doc&amp;base=LAW&amp;n=472970&amp;date=02.08.2025&amp;demo=2" TargetMode = "External"/>
	<Relationship Id="rId26" Type="http://schemas.openxmlformats.org/officeDocument/2006/relationships/hyperlink" Target="https://login.consultant.ru/link/?req=doc&amp;base=LAW&amp;n=472970&amp;date=02.08.2025&amp;demo=2" TargetMode = "External"/>
	<Relationship Id="rId27" Type="http://schemas.openxmlformats.org/officeDocument/2006/relationships/hyperlink" Target="https://login.consultant.ru/link/?req=doc&amp;base=LAW&amp;n=484371&amp;date=02.08.2025&amp;demo=2" TargetMode = "External"/>
	<Relationship Id="rId28" Type="http://schemas.openxmlformats.org/officeDocument/2006/relationships/hyperlink" Target="https://login.consultant.ru/link/?req=doc&amp;base=LAW&amp;n=485076&amp;date=02.08.2025&amp;dst=100023&amp;field=134&amp;demo=2" TargetMode = "External"/>
	<Relationship Id="rId29" Type="http://schemas.openxmlformats.org/officeDocument/2006/relationships/hyperlink" Target="https://login.consultant.ru/link/?req=doc&amp;base=LAW&amp;n=497933&amp;date=02.08.2025&amp;dst=100089&amp;field=134&amp;demo=2" TargetMode = "External"/>
	<Relationship Id="rId30" Type="http://schemas.openxmlformats.org/officeDocument/2006/relationships/hyperlink" Target="https://login.consultant.ru/link/?req=doc&amp;base=LAW&amp;n=505404&amp;date=02.08.2025&amp;demo=2" TargetMode = "External"/>
	<Relationship Id="rId31" Type="http://schemas.openxmlformats.org/officeDocument/2006/relationships/hyperlink" Target="https://login.consultant.ru/link/?req=doc&amp;base=LAW&amp;n=483022&amp;date=02.08.2025&amp;dst=476&amp;field=134&amp;demo=2" TargetMode = "External"/>
	<Relationship Id="rId32" Type="http://schemas.openxmlformats.org/officeDocument/2006/relationships/hyperlink" Target="https://login.consultant.ru/link/?req=doc&amp;base=LAW&amp;n=495712&amp;date=02.08.2025&amp;dst=100355&amp;field=134&amp;demo=2" TargetMode = "External"/>
	<Relationship Id="rId33" Type="http://schemas.openxmlformats.org/officeDocument/2006/relationships/hyperlink" Target="https://login.consultant.ru/link/?req=doc&amp;base=LAW&amp;n=483022&amp;date=02.08.2025&amp;dst=462&amp;field=134&amp;demo=2" TargetMode = "External"/>
	<Relationship Id="rId34" Type="http://schemas.openxmlformats.org/officeDocument/2006/relationships/hyperlink" Target="https://login.consultant.ru/link/?req=doc&amp;base=LAW&amp;n=440938&amp;date=02.08.2025&amp;demo=2" TargetMode = "External"/>
	<Relationship Id="rId35" Type="http://schemas.openxmlformats.org/officeDocument/2006/relationships/hyperlink" Target="https://login.consultant.ru/link/?req=doc&amp;base=LAW&amp;n=480812&amp;date=02.08.2025&amp;dst=100018&amp;field=134&amp;demo=2" TargetMode = "External"/>
	<Relationship Id="rId36" Type="http://schemas.openxmlformats.org/officeDocument/2006/relationships/hyperlink" Target="https://login.consultant.ru/link/?req=doc&amp;base=LAW&amp;n=440938&amp;date=02.08.2025&amp;demo=2" TargetMode = "External"/>
	<Relationship Id="rId37" Type="http://schemas.openxmlformats.org/officeDocument/2006/relationships/hyperlink" Target="https://login.consultant.ru/link/?req=doc&amp;base=LAW&amp;n=483022&amp;date=02.08.2025&amp;dst=253&amp;field=134&amp;demo=2" TargetMode = "External"/>
	<Relationship Id="rId38" Type="http://schemas.openxmlformats.org/officeDocument/2006/relationships/hyperlink" Target="https://login.consultant.ru/link/?req=doc&amp;base=LAW&amp;n=78502&amp;date=02.08.2025&amp;dst=100014&amp;field=134&amp;demo=2" TargetMode = "External"/>
	<Relationship Id="rId39" Type="http://schemas.openxmlformats.org/officeDocument/2006/relationships/hyperlink" Target="https://login.consultant.ru/link/?req=doc&amp;base=LAW&amp;n=300592&amp;date=02.08.2025&amp;dst=100010&amp;field=134&amp;demo=2" TargetMode = "External"/>
	<Relationship Id="rId40" Type="http://schemas.openxmlformats.org/officeDocument/2006/relationships/hyperlink" Target="https://login.consultant.ru/link/?req=doc&amp;base=LAW&amp;n=135996&amp;date=02.08.2025&amp;dst=100010&amp;field=134&amp;demo=2" TargetMode = "External"/>
	<Relationship Id="rId41" Type="http://schemas.openxmlformats.org/officeDocument/2006/relationships/hyperlink" Target="https://login.consultant.ru/link/?req=doc&amp;base=LAW&amp;n=509216&amp;date=02.08.2025&amp;demo=2" TargetMode = "External"/>
	<Relationship Id="rId42" Type="http://schemas.openxmlformats.org/officeDocument/2006/relationships/header" Target="header2.xml"/>
	<Relationship Id="rId43" Type="http://schemas.openxmlformats.org/officeDocument/2006/relationships/footer" Target="footer2.xml"/>
	<Relationship Id="rId44" Type="http://schemas.openxmlformats.org/officeDocument/2006/relationships/hyperlink" Target="https://login.consultant.ru/link/?req=doc&amp;base=OTN&amp;n=26841&amp;date=02.08.2025&amp;dst=102206&amp;field=134&amp;demo=2" TargetMode = "External"/>
	<Relationship Id="rId45" Type="http://schemas.openxmlformats.org/officeDocument/2006/relationships/hyperlink" Target="https://login.consultant.ru/link/?req=doc&amp;base=OTN&amp;n=26841&amp;date=02.08.2025&amp;dst=101983&amp;field=134&amp;demo=2" TargetMode = "External"/>
	<Relationship Id="rId46" Type="http://schemas.openxmlformats.org/officeDocument/2006/relationships/hyperlink" Target="https://login.consultant.ru/link/?req=doc&amp;base=OTN&amp;n=26841&amp;date=02.08.2025&amp;dst=101959&amp;field=134&amp;demo=2" TargetMode = "External"/>
	<Relationship Id="rId47" Type="http://schemas.openxmlformats.org/officeDocument/2006/relationships/hyperlink" Target="https://login.consultant.ru/link/?req=doc&amp;base=OTN&amp;n=26841&amp;date=02.08.2025&amp;dst=101959&amp;field=134&amp;demo=2" TargetMode = "External"/>
	<Relationship Id="rId48" Type="http://schemas.openxmlformats.org/officeDocument/2006/relationships/hyperlink" Target="https://login.consultant.ru/link/?req=doc&amp;base=OTN&amp;n=26841&amp;date=02.08.2025&amp;dst=101951&amp;field=134&amp;demo=2" TargetMode = "External"/>
	<Relationship Id="rId49" Type="http://schemas.openxmlformats.org/officeDocument/2006/relationships/hyperlink" Target="https://login.consultant.ru/link/?req=doc&amp;base=OTN&amp;n=32711&amp;date=02.08.2025&amp;dst=100049&amp;field=134&amp;demo=2" TargetMode = "External"/>
	<Relationship Id="rId50" Type="http://schemas.openxmlformats.org/officeDocument/2006/relationships/hyperlink" Target="https://login.consultant.ru/link/?req=doc&amp;base=OTN&amp;n=32711&amp;date=02.08.2025&amp;dst=100079&amp;field=134&amp;demo=2" TargetMode = "External"/>
	<Relationship Id="rId51" Type="http://schemas.openxmlformats.org/officeDocument/2006/relationships/hyperlink" Target="https://login.consultant.ru/link/?req=doc&amp;base=LAW&amp;n=403017&amp;date=02.08.2025&amp;demo=2" TargetMode = "External"/>
	<Relationship Id="rId52" Type="http://schemas.openxmlformats.org/officeDocument/2006/relationships/hyperlink" Target="https://login.consultant.ru/link/?req=doc&amp;base=OTN&amp;n=26841&amp;date=02.08.2025&amp;dst=100126&amp;field=134&amp;demo=2" TargetMode = "External"/>
	<Relationship Id="rId53" Type="http://schemas.openxmlformats.org/officeDocument/2006/relationships/hyperlink" Target="https://login.consultant.ru/link/?req=doc&amp;base=LAW&amp;n=334930&amp;date=02.08.2025&amp;demo=2" TargetMode = "External"/>
	<Relationship Id="rId54" Type="http://schemas.openxmlformats.org/officeDocument/2006/relationships/hyperlink" Target="https://login.consultant.ru/link/?req=doc&amp;base=LAW&amp;n=359764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18.06.2025 N 382н
"Об утверждении Стандарта оказания услуги по протезированию инвалидов"
(Зарегистрировано в Минюсте России 16.07.2025 N 82958)</dc:title>
  <dcterms:created xsi:type="dcterms:W3CDTF">2025-08-02T07:27:37Z</dcterms:created>
</cp:coreProperties>
</file>