
<file path=[Content_Types].xml><?xml version="1.0" encoding="utf-8"?>
<Types xmlns="http://schemas.openxmlformats.org/package/2006/content-types">
  <Default Extension="png" ContentType="image/png"/>
  <Default Extension="jpeg" ContentType="image/jpeg"/>
  <Default Extension="bmp" ContentType="image/bmp"/>
  <Default Extension="rels" ContentType="application/vnd.openxmlformats-package.relationships+xml"/>
  <Default Extension="xml" ContentType="application/xml"/>
  <Default Extension="emf" ContentType="image/x-emf"/>
  <Default Extension="wmf" ContentType="image/x-wmf"/>
  <Override PartName="/word/document.xml" ContentType="application/vnd.openxmlformats-officedocument.wordprocessingml.document.main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
	<Relationship Id="rId1" Type="http://schemas.openxmlformats.org/officeDocument/2006/relationships/officeDocument" Target="word/document.xml"/>
	<Relationship Id="rId2" Type="http://schemas.openxmlformats.org/package/2006/relationships/metadata/core-properties" Target="docProps/core.xml"/>
	<Relationship Id="rId3" Type="http://schemas.openxmlformats.org/officeDocument/2006/relationships/extended-properties" Target="docProps/app.xml"/>
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Ind w:w="0" w:type="dxa"/>
        <w:tblW w:w="5000" w:type="pct"/>
        <w:tblBorders>
          <w:top w:val="nil"/>
          <w:left w:val="nil"/>
          <w:bottom w:val="nil"/>
          <w:right w:val="nil"/>
          <w:insideV w:val="nil"/>
          <w:insideH w:val="nil"/>
        </w:tblBorders>
      </w:tblPr>
      <w:tblGrid>
        <w:gridCol w:w="10716"/>
      </w:tblGrid>
      <w:tr>
        <w:trPr>
          <w:trHeight w:val="3031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</w:pPr>
            <w:r>
              <w:rPr>
                <w:position w:val="-61"/>
              </w:rPr>
              <w:drawing>
                <wp:inline distT="0" distB="0" distL="0" distR="0">
                  <wp:extent cx="3810000" cy="904875"/>
                  <wp:effectExtent l="0" t="0" r="0" b="0"/>
                  <wp:docPr id="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10000" cy="904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8335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vAlign w:val="center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  <w:jc w:val="center"/>
            </w:pPr>
            <w:r>
              <w:rPr>
                <w:sz w:val="48"/>
              </w:rPr>
              <w:t xml:space="preserve">Федеральный закон от 23.07.2025 N 230-ФЗ</w:t>
              <w:br/>
              <w:t xml:space="preserve">"О внесении изменений в статью 333.36 части второй Налогового кодекса Российской Федерации"</w:t>
            </w:r>
          </w:p>
        </w:tc>
      </w:tr>
      <w:tr>
        <w:trPr>
          <w:trHeight w:val="3031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vAlign w:val="center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  <w:jc w:val="center"/>
            </w:pPr>
            <w:r>
              <w:rPr>
                <w:sz w:val="28"/>
              </w:rPr>
              <w:t xml:space="preserve">Документ предоставлен </w:t>
            </w:r>
            <w:hyperlink w:history="0" r:id="rId3" w:tooltip="Ссылка на КонсультантПлюс">
              <w:r>
                <w:rPr>
                  <w:sz w:val="28"/>
                  <w:color w:val="0000ff"/>
                  <w:b w:val="on"/>
                </w:rPr>
                <w:t xml:space="preserve">КонсультантПлюс</w:t>
                <w:br/>
                <w:br/>
              </w:r>
            </w:hyperlink>
            <w:hyperlink w:history="0" r:id="rId4" w:tooltip="Ссылка на КонсультантПлюс">
              <w:r>
                <w:rPr>
                  <w:sz w:val="28"/>
                  <w:color w:val="0000ff"/>
                  <w:b w:val="on"/>
                </w:rPr>
                <w:t xml:space="preserve">www.consultant.ru</w:t>
              </w:r>
            </w:hyperlink>
            <w:r>
              <w:rPr>
                <w:sz w:val="28"/>
              </w:rPr>
              <w:br/>
              <w:br/>
              <w:t xml:space="preserve">Дата сохранения: 01.08.2025</w:t>
            </w:r>
            <w:r>
              <w:rPr>
                <w:sz w:val="28"/>
              </w:rPr>
              <w:br/>
              <w:t xml:space="preserve"> </w:t>
            </w:r>
          </w:p>
        </w:tc>
      </w:tr>
    </w:tbl>
    <w:p>
      <w:pPr>
        <w:sectPr>
          <w:pgSz w:w="11906" w:h="16838"/>
          <w:pgMar w:top="841" w:right="595" w:bottom="841" w:left="595" w:header="0" w:footer="0" w:gutter="0"/>
          <w:titlePg/>
        </w:sectPr>
      </w:pPr>
    </w:p>
    <w:p>
      <w:pPr>
        <w:pStyle w:val="0"/>
        <w:outlineLvl w:val="0"/>
        <w:jc w:val="both"/>
      </w:pPr>
      <w:r>
        <w:rPr>
          <w:sz w:val="24"/>
        </w:rPr>
      </w:r>
    </w:p>
    <w:tbl>
      <w:tblPr>
        <w:tblInd w:w="0" w:type="dxa"/>
        <w:tblW w:w="5000" w:type="pct"/>
        <w:tblBorders>
          <w:top w:val="single" w:sz="8"/>
          <w:left w:val="single" w:sz="8"/>
          <w:bottom w:val="single" w:sz="8"/>
          <w:right w:val="single" w:sz="8"/>
          <w:insideV w:val="single" w:sz="8"/>
          <w:insideH w:val="single" w:sz="8"/>
        </w:tblBorders>
        <w:tblCellMar>
          <w:top w:w="0" w:type="dxa"/>
          <w:left w:w="0" w:type="dxa"/>
          <w:bottom w:w="0" w:type="dxa"/>
          <w:right w:w="0" w:type="dxa"/>
        </w:tblCellMar>
      </w:tblPr>
      <w:tblGrid>
        <w:gridCol w:w="5103"/>
        <w:gridCol w:w="5103"/>
      </w:tblGrid>
      <w:tr>
        <w:tc>
          <w:tcPr>
            <w:tcW w:w="5103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23 июля 2025 года</w:t>
            </w:r>
          </w:p>
        </w:tc>
        <w:tc>
          <w:tcPr>
            <w:tcW w:w="5103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right"/>
            </w:pPr>
            <w:r>
              <w:rPr>
                <w:sz w:val="24"/>
              </w:rPr>
              <w:t xml:space="preserve">N 230-ФЗ</w:t>
            </w:r>
          </w:p>
        </w:tc>
      </w:tr>
    </w:tbl>
    <w:p>
      <w:pPr>
        <w:pStyle w:val="0"/>
        <w:jc w:val="both"/>
        <w:pBdr>
          <w:bottom w:val="single" w:sz="6" w:space="0" w:color="auto"/>
        </w:pBdr>
        <w:spacing w:before="100" w:after="100"/>
        <w:rPr>
          <w:sz w:val="2"/>
          <w:szCs w:val="2"/>
        </w:rPr>
      </w:pPr>
    </w:p>
    <w:p>
      <w:pPr>
        <w:pStyle w:val="0"/>
        <w:jc w:val="both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РОССИЙСКАЯ ФЕДЕРАЦИЯ</w:t>
      </w:r>
    </w:p>
    <w:p>
      <w:pPr>
        <w:pStyle w:val="2"/>
        <w:jc w:val="center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ФЕДЕРАЛЬНЫЙ ЗАКОН</w:t>
      </w:r>
    </w:p>
    <w:p>
      <w:pPr>
        <w:pStyle w:val="2"/>
        <w:jc w:val="center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О ВНЕСЕНИИ ИЗМЕНЕНИЙ</w:t>
      </w:r>
    </w:p>
    <w:p>
      <w:pPr>
        <w:pStyle w:val="2"/>
        <w:jc w:val="center"/>
      </w:pPr>
      <w:r>
        <w:rPr>
          <w:sz w:val="24"/>
        </w:rPr>
        <w:t xml:space="preserve">В СТАТЬЮ 333.36 ЧАСТИ ВТОРОЙ НАЛОГОВОГО КОДЕКСА</w:t>
      </w:r>
    </w:p>
    <w:p>
      <w:pPr>
        <w:pStyle w:val="2"/>
        <w:jc w:val="center"/>
      </w:pPr>
      <w:r>
        <w:rPr>
          <w:sz w:val="24"/>
        </w:rPr>
        <w:t xml:space="preserve">РОССИЙСКОЙ ФЕДЕРАЦИИ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jc w:val="right"/>
      </w:pPr>
      <w:r>
        <w:rPr>
          <w:sz w:val="24"/>
        </w:rPr>
        <w:t xml:space="preserve">Принят</w:t>
      </w:r>
    </w:p>
    <w:p>
      <w:pPr>
        <w:pStyle w:val="0"/>
        <w:jc w:val="right"/>
      </w:pPr>
      <w:r>
        <w:rPr>
          <w:sz w:val="24"/>
        </w:rPr>
        <w:t xml:space="preserve">Государственной Думой</w:t>
      </w:r>
    </w:p>
    <w:p>
      <w:pPr>
        <w:pStyle w:val="0"/>
        <w:jc w:val="right"/>
      </w:pPr>
      <w:r>
        <w:rPr>
          <w:sz w:val="24"/>
        </w:rPr>
        <w:t xml:space="preserve">15 июля 2025 года</w:t>
      </w:r>
    </w:p>
    <w:p>
      <w:pPr>
        <w:pStyle w:val="0"/>
        <w:jc w:val="right"/>
      </w:pPr>
      <w:r>
        <w:rPr>
          <w:sz w:val="24"/>
        </w:rPr>
      </w:r>
    </w:p>
    <w:p>
      <w:pPr>
        <w:pStyle w:val="0"/>
        <w:jc w:val="right"/>
      </w:pPr>
      <w:r>
        <w:rPr>
          <w:sz w:val="24"/>
        </w:rPr>
        <w:t xml:space="preserve">Одобрен</w:t>
      </w:r>
    </w:p>
    <w:p>
      <w:pPr>
        <w:pStyle w:val="0"/>
        <w:jc w:val="right"/>
      </w:pPr>
      <w:r>
        <w:rPr>
          <w:sz w:val="24"/>
        </w:rPr>
        <w:t xml:space="preserve">Советом Федерации</w:t>
      </w:r>
    </w:p>
    <w:p>
      <w:pPr>
        <w:pStyle w:val="0"/>
        <w:jc w:val="right"/>
      </w:pPr>
      <w:r>
        <w:rPr>
          <w:sz w:val="24"/>
        </w:rPr>
        <w:t xml:space="preserve">16 июля 2025 года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2"/>
        <w:outlineLvl w:val="0"/>
        <w:ind w:firstLine="540"/>
        <w:jc w:val="both"/>
      </w:pPr>
      <w:r>
        <w:rPr>
          <w:sz w:val="24"/>
        </w:rPr>
        <w:t xml:space="preserve">Статья 1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Внести в </w:t>
      </w:r>
      <w:hyperlink w:history="0" r:id="rId7" w:tooltip="&quot;Налоговый кодекс Российской Федерации (часть вторая)&quot; от 05.08.2000 N 117-ФЗ (ред. от 28.12.2024, с изм. от 21.01.2025) (с изм. и доп., вступ. в силу с 01.07.2025) ------------ Недействующая редакция {КонсультантПлюс}">
        <w:r>
          <w:rPr>
            <w:sz w:val="24"/>
            <w:color w:val="0000ff"/>
          </w:rPr>
          <w:t xml:space="preserve">статью 333.36</w:t>
        </w:r>
      </w:hyperlink>
      <w:r>
        <w:rPr>
          <w:sz w:val="24"/>
        </w:rPr>
        <w:t xml:space="preserve"> части второй Налогового кодекса Российской Федерации (Собрание законодательства Российской Федерации, 2000, N 32, ст. 3340; 2004, N 45, ст. 4377; 2009, N 52, ст. 6450; 2010, N 15, ст. 1737; 2012, N 29, ст. 3980; 2013, N 48, ст. 6165; 2014, N 26, ст. 3404; 2015, N 10, ст. 1393; 2016, N 6, ст. 763; N 49, ст. 6844; 2018, N 53, ст. 8416; 2021, N 8, ст. 1197; N 24, ст. 4217; N 27, ст. 5133; 2022, N 27, ст. 4610; N 29, ст. 5206; 2023, N 47, ст. 8313; 2024, N 33, ст. 4955; N 45, ст. 6693) следующие изменения: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1) </w:t>
      </w:r>
      <w:hyperlink w:history="0" r:id="rId8" w:tooltip="&quot;Налоговый кодекс Российской Федерации (часть вторая)&quot; от 05.08.2000 N 117-ФЗ (ред. от 28.12.2024, с изм. от 21.01.2025) (с изм. и доп., вступ. в силу с 01.07.2025) ------------ Недействующая редакция {КонсультантПлюс}">
        <w:r>
          <w:rPr>
            <w:sz w:val="24"/>
            <w:color w:val="0000ff"/>
          </w:rPr>
          <w:t xml:space="preserve">пункт 1</w:t>
        </w:r>
      </w:hyperlink>
      <w:r>
        <w:rPr>
          <w:sz w:val="24"/>
        </w:rPr>
        <w:t xml:space="preserve"> дополнить подпунктом 24 следующего содержания: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"24) физические лица - при подаче в суд заявлений о рассмотрении дел, предусмотренных </w:t>
      </w:r>
      <w:hyperlink w:history="0" r:id="rId9" w:tooltip="&quot;Гражданский процессуальный кодекс Российской Федерации&quot; от 14.11.2002 N 138-ФЗ (ред. от 07.07.2025) {КонсультантПлюс}">
        <w:r>
          <w:rPr>
            <w:sz w:val="24"/>
            <w:color w:val="0000ff"/>
          </w:rPr>
          <w:t xml:space="preserve">пунктами 1</w:t>
        </w:r>
      </w:hyperlink>
      <w:r>
        <w:rPr>
          <w:sz w:val="24"/>
        </w:rPr>
        <w:t xml:space="preserve"> и </w:t>
      </w:r>
      <w:hyperlink w:history="0" r:id="rId10" w:tooltip="&quot;Гражданский процессуальный кодекс Российской Федерации&quot; от 14.11.2002 N 138-ФЗ (ред. от 07.07.2025) {КонсультантПлюс}">
        <w:r>
          <w:rPr>
            <w:sz w:val="24"/>
            <w:color w:val="0000ff"/>
          </w:rPr>
          <w:t xml:space="preserve">3 части первой статьи 262</w:t>
        </w:r>
      </w:hyperlink>
      <w:r>
        <w:rPr>
          <w:sz w:val="24"/>
        </w:rPr>
        <w:t xml:space="preserve"> Гражданского процессуального кодекса Российской Федерации, в случае, если такие лица являются: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лицами, относящимися к ветеранам боевых действий в соответствии с </w:t>
      </w:r>
      <w:hyperlink w:history="0" r:id="rId11" w:tooltip="Федеральный закон от 12.01.1995 N 5-ФЗ (ред. от 07.07.2025) &quot;О ветеранах&quot; {КонсультантПлюс}">
        <w:r>
          <w:rPr>
            <w:sz w:val="24"/>
            <w:color w:val="0000ff"/>
          </w:rPr>
          <w:t xml:space="preserve">подпунктом 9 пункта 1 статьи 3</w:t>
        </w:r>
      </w:hyperlink>
      <w:r>
        <w:rPr>
          <w:sz w:val="24"/>
        </w:rPr>
        <w:t xml:space="preserve"> Федерального закона от 12 января 1995 года N 5-ФЗ "О ветеранах";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лицами, принимавшими участие в боевых действиях в составе Вооруженных Сил Донецкой Народной Республики, Народной милиции Луганской Народной Республики, воинских формирований или органов Донецкой Народной Республики или Луганской Народной Республики начиная с 11 мая 2014 года;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гражданами, призванными на военную службу по мобилизации в Вооруженные Силы Российской Федерации;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военнослужащими органов федеральной службы безопасности, непосредственно выполняющими (выполнявшими) задачи по обеспечению безопасности Российской Федерации на участках, примыкающих к районам проведения специальной военной операции;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военнослужащими, лицами, имеющими специальные звания полиции, проходящими военную службу (службу) в войсках национальной гвардии Российской Федерации, или сотрудниками органов внутренних дел Российской Федерации, выполняющими (выполнявшими) задачи по оказанию содействия органам федеральной службы безопасности на участках, примыкающих к районам проведения специальной военной операции;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лицами, принимающими (принимавшими) участие в специальной военной операции: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военнослужащими, лицами, проходящими службу в войсках национальной гвардии Российской Федерации и имеющими специальные звания полиции, или сотрудниками органов внутренних дел Российской Федерации;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гражданами, заключившими контракт о пребывании в добровольческом формировании (о добровольном содействии в выполнении задач, возложенных на Вооруженные Силы Российской Федерации или войска национальной гвардии Российской Федерации) либо заключившими контракт (имеющими иные правоотношения) с организациями, содействующими выполнению задач, возложенных на Вооруженные Силы Российской Федерации;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лицами, выполняющими (выполнявшими) возложенные на них задачи на территории Украины, Донецкой Народной Республики, Луганской Народной Республики, Запорожской области или Херсонской области в период проведения специальной военной операции: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военнослужащими спасательных воинских формирований федерального органа исполнительной власти, уполномоченного на решение задач в области гражданской обороны;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сотрудниками органов внутренних дел Российской Федерации, Следственного комитета Российской Федерации, федеральной противопожарной службы Государственной противопожарной службы, уголовно-исполнительной системы Российской Федерации или органов принудительного исполнения Российской Федерации;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прокурорскими работниками;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лицами, в том числе уволенными в запас (отставку), выполнявшими задачи по отражению вооруженного вторжения на территорию Российской Федерации, а также в ходе вооруженной провокации на Государственной границе Российской Федерации и территориях субъектов Российской Федерации, прилегающих к районам проведения специальной военной операции: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военнослужащими;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гражданами, заключившими контракт о пребывании в добровольческом формировании (о добровольном содействии в выполнении задач, возложенных на Вооруженные Силы Российской Федерации или войска национальной гвардии Российской Федерации);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лицами, проходящими службу в войсках национальной гвардии Российской Федерации и имеющими специальные звания полиции, сотрудниками органов внутренних дел Российской Федерации, Следственного комитета Российской Федерации, федеральной противопожарной службы Государственной противопожарной службы, уголовно-исполнительной системы Российской Федерации, органов принудительного исполнения Российской Федерации;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прокурорскими работниками;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членами семей лиц, указанных в настоящем подпункте.";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2) </w:t>
      </w:r>
      <w:hyperlink w:history="0" r:id="rId12" w:tooltip="&quot;Налоговый кодекс Российской Федерации (часть вторая)&quot; от 05.08.2000 N 117-ФЗ (ред. от 28.12.2024, с изм. от 21.01.2025) (с изм. и доп., вступ. в силу с 01.07.2025) ------------ Недействующая редакция {КонсультантПлюс}">
        <w:r>
          <w:rPr>
            <w:sz w:val="24"/>
            <w:color w:val="0000ff"/>
          </w:rPr>
          <w:t xml:space="preserve">дополнить</w:t>
        </w:r>
      </w:hyperlink>
      <w:r>
        <w:rPr>
          <w:sz w:val="24"/>
        </w:rPr>
        <w:t xml:space="preserve"> пунктом 1.1 следующего содержания: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"1.1. Льготы, предусмотренные подпунктом 24 пункта 1 настоящей статьи, предоставляются на основании копий соответствующих документов: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1) удостоверения ветерана боевых действий;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2) документа, подтверждающего участие в боевых действиях в составе Вооруженных Сил Донецкой Народной Республики, Народной милиции Луганской Народной Республики, воинских формирований или органов Донецкой Народной Республики или Луганской Народной Республики начиная с 11 мая 2014 года, выданного уполномоченными органами исполнительной власти Донецкой Народной Республики или Луганской Народной Республики;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3) документа, выданного федеральным органом исполнительной власти или федеральным государственным органом, в которых федеральным законом предусмотрена военная служба (служба), либо уполномоченными ими воинской частью, органом или учреждением, подтверждающего: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факт участия в специальной военной операции;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выполнение задач на территории Украины, Донецкой Народной Республики, Луганской Народной Республики, Запорожской области или Херсонской области в период проведения специальной военной операции;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выполнение задач по обеспечению безопасности Российской Федерации (выполнение задач по оказанию содействия органам федеральной службы безопасности по обеспечению безопасности Российской Федерации) на участках, примыкающих к районам проведения специальной военной операции;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выполнение задач по отражению вооруженного вторжения на территорию Российской Федерации, а также в ходе вооруженной провокации на Государственной границе Российской Федерации и территориях субъектов Российской Федерации, прилегающих к районам проведения специальной военной операции.".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2"/>
        <w:outlineLvl w:val="0"/>
        <w:ind w:firstLine="540"/>
        <w:jc w:val="both"/>
      </w:pPr>
      <w:r>
        <w:rPr>
          <w:sz w:val="24"/>
        </w:rPr>
        <w:t xml:space="preserve">Статья 2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Настоящий Федеральный закон вступает в силу со дня его официального опубликования.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jc w:val="right"/>
      </w:pPr>
      <w:r>
        <w:rPr>
          <w:sz w:val="24"/>
        </w:rPr>
        <w:t xml:space="preserve">Президент</w:t>
      </w:r>
    </w:p>
    <w:p>
      <w:pPr>
        <w:pStyle w:val="0"/>
        <w:jc w:val="right"/>
      </w:pPr>
      <w:r>
        <w:rPr>
          <w:sz w:val="24"/>
        </w:rPr>
        <w:t xml:space="preserve">Российской Федерации</w:t>
      </w:r>
    </w:p>
    <w:p>
      <w:pPr>
        <w:pStyle w:val="0"/>
        <w:jc w:val="right"/>
      </w:pPr>
      <w:r>
        <w:rPr>
          <w:sz w:val="24"/>
        </w:rPr>
        <w:t xml:space="preserve">В.ПУТИН</w:t>
      </w:r>
    </w:p>
    <w:p>
      <w:pPr>
        <w:pStyle w:val="0"/>
      </w:pPr>
      <w:r>
        <w:rPr>
          <w:sz w:val="24"/>
        </w:rPr>
        <w:t xml:space="preserve">Москва, Кремль</w:t>
      </w:r>
    </w:p>
    <w:p>
      <w:pPr>
        <w:pStyle w:val="0"/>
        <w:spacing w:before="240" w:line-rule="auto"/>
      </w:pPr>
      <w:r>
        <w:rPr>
          <w:sz w:val="24"/>
        </w:rPr>
        <w:t xml:space="preserve">23 июля 2025 года</w:t>
      </w:r>
    </w:p>
    <w:p>
      <w:pPr>
        <w:pStyle w:val="0"/>
        <w:spacing w:before="240" w:line-rule="auto"/>
      </w:pPr>
      <w:r>
        <w:rPr>
          <w:sz w:val="24"/>
        </w:rPr>
        <w:t xml:space="preserve">N 230-ФЗ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  <w:pBdr>
          <w:bottom w:val="single" w:sz="6" w:space="0" w:color="auto"/>
        </w:pBdr>
        <w:spacing w:before="100" w:after="100"/>
        <w:rPr>
          <w:sz w:val="2"/>
          <w:szCs w:val="2"/>
        </w:rPr>
      </w:pPr>
    </w:p>
    <w:sectPr>
      <w:headerReference w:type="default" r:id="rId5"/>
      <w:headerReference w:type="first" r:id="rId5"/>
      <w:footerReference w:type="default" r:id="rId6"/>
      <w:footerReference w:type="first" r:id="rId6"/>
      <w:pgSz w:w="11906" w:h="16838"/>
      <w:pgMar w:top="1440" w:right="566" w:bottom="1440" w:left="1133" w:header="0" w:footer="0" w:gutter="0"/>
      <w:titlePg/>
    </w:sectPr>
  </w:body>
</w:document>
</file>

<file path=word/footer1.xml><?xml version="1.0" encoding="utf-8"?>
<w:ft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p>
    <w:pPr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Ind w:w="0" w:type="dxa"/>
      <w:tblCellMar>
        <w:left w:w="40" w:type="dxa"/>
        <w:right w:w="40" w:type="dxa"/>
      </w:tblCellMar>
      <w:tblLook w:firstRow="0" w:lastRow="0" w:firstColumn="0" w:lastColumn="0" w:noHBand="0" w:noVBand="0"/>
    </w:tblPr>
    <w:tblGrid>
      <w:gridCol w:w="1"/>
      <w:gridCol w:w="1"/>
      <w:gridCol w:w="1"/>
    </w:tblGrid>
    <w:tr>
      <w:trPr>
        <w:trHeight w:hRule="exact" w:val="1663"/>
      </w:trPr>
      <w:tc>
        <w:tcPr>
          <w:tcW w:w="1650" w:type="pct"/>
          <w:vAlign w:val="center"/>
        </w:tcPr>
        <w:p>
          <w:r>
            <w:rPr>
              <w:rFonts w:ascii="Tahoma" w:hAnsi="Tahoma" w:cs="Tahoma"/>
              <w:b/>
              <w:color w:val="f58220"/>
              <w:sz w:val="28"/>
              <w:szCs w:val="28"/>
              <w:noProof/>
            </w:rPr>
            <w:t>КонсультантПлюс</w:t>
          </w:r>
          <w:r>
            <w:rPr>
              <w:rFonts w:ascii="Tahoma" w:hAnsi="Tahoma" w:cs="Tahoma"/>
              <w:b/>
              <w:sz w:val="16"/>
              <w:szCs w:val="16"/>
              <w:noProof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>
          <w:pPr>
            <w:jc w:val="center"/>
          </w:pPr>
          <w:hyperlink r:id="rId1" w:history="0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>
          <w:pPr>
            <w:jc w:val="end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</w:p>
      </w:tc>
    </w:tr>
  </w:tbl>
  <w:p>
    <w:r>
      <w:rPr>
        <w:sz w:val="2"/>
        <w:szCs w:val="2"/>
      </w:rPr>
      <w:t>1</w:t>
    </w:r>
  </w:p>
</w:ftr>
</file>

<file path=word/header1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Федеральный закон от 23.07.2025 N 230-ФЗ</w:t>
            <w:br/>
            <w:t>"О внесении изменений в статью 333.36 части второй Налогового кодекса Российско...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01.08.2025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pPrDefault>
      <w:pPr>
        <w:spacing w:before="0" w:after="0" w:line="240" w:lineRule="auto"/>
      </w:pPr>
    </w:pPrDefault>
  </w:docDefaults>
  <w:style w:type="paragraph" w:default="1" w:customStyle="1" w:styleId="0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4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Tahoma" w:hAnsi="Tahoma" w:cs="Tahoma"/>
      <w:sz w:val="18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default="1" w:customStyle="1" w:styleId="0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4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Tahoma" w:hAnsi="Tahoma" w:cs="Tahoma"/>
      <w:sz w:val="18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</w:styles>
</file>

<file path=word/_rels/document.xml.rels>&#65279;<?xml version="1.0" encoding="UTF-8" standalone="yes"?>
<Relationships xmlns="http://schemas.openxmlformats.org/package/2006/relationships">
	<Relationship Id="rId1" Type="http://schemas.openxmlformats.org/officeDocument/2006/relationships/styles" Target="styles.xml"/>
	<Relationship Id="rId2" Type="http://schemas.openxmlformats.org/officeDocument/2006/relationships/image" Target="media/image1.png"/>
	<Relationship Id="rId3" Type="http://schemas.openxmlformats.org/officeDocument/2006/relationships/hyperlink" Target="https://www.consultant.ru" TargetMode = "External"/>
	<Relationship Id="rId4" Type="http://schemas.openxmlformats.org/officeDocument/2006/relationships/hyperlink" Target="https://www.consultant.ru" TargetMode = "External"/>
	<Relationship Id="rId5" Type="http://schemas.openxmlformats.org/officeDocument/2006/relationships/header" Target="header1.xml"/>
	<Relationship Id="rId6" Type="http://schemas.openxmlformats.org/officeDocument/2006/relationships/footer" Target="footer1.xml"/>
	<Relationship Id="rId7" Type="http://schemas.openxmlformats.org/officeDocument/2006/relationships/hyperlink" Target="https://login.consultant.ru/link/?req=doc&amp;base=LAW&amp;n=492316&amp;date=01.08.2025&amp;dst=9905&amp;field=134&amp;demo=2" TargetMode = "External"/>
	<Relationship Id="rId8" Type="http://schemas.openxmlformats.org/officeDocument/2006/relationships/hyperlink" Target="https://login.consultant.ru/link/?req=doc&amp;base=LAW&amp;n=492316&amp;date=01.08.2025&amp;dst=11635&amp;field=134&amp;demo=2" TargetMode = "External"/>
	<Relationship Id="rId9" Type="http://schemas.openxmlformats.org/officeDocument/2006/relationships/hyperlink" Target="https://login.consultant.ru/link/?req=doc&amp;base=LAW&amp;n=509430&amp;date=01.08.2025&amp;dst=101219&amp;field=134&amp;demo=2" TargetMode = "External"/>
	<Relationship Id="rId10" Type="http://schemas.openxmlformats.org/officeDocument/2006/relationships/hyperlink" Target="https://login.consultant.ru/link/?req=doc&amp;base=LAW&amp;n=509430&amp;date=01.08.2025&amp;dst=101221&amp;field=134&amp;demo=2" TargetMode = "External"/>
	<Relationship Id="rId11" Type="http://schemas.openxmlformats.org/officeDocument/2006/relationships/hyperlink" Target="https://login.consultant.ru/link/?req=doc&amp;base=LAW&amp;n=509322&amp;date=01.08.2025&amp;dst=100549&amp;field=134&amp;demo=2" TargetMode = "External"/>
	<Relationship Id="rId12" Type="http://schemas.openxmlformats.org/officeDocument/2006/relationships/hyperlink" Target="https://login.consultant.ru/link/?req=doc&amp;base=LAW&amp;n=492316&amp;date=01.08.2025&amp;dst=9905&amp;field=134&amp;demo=2" TargetMode = "External"/>
</Relationships>
</file>

<file path=word/_rels/footer1.xml.rels>&#65279;<?xml version="1.0" encoding="UTF-8" standalone="yes"?>
<Relationships xmlns="http://schemas.openxmlformats.org/package/2006/relationships">
	<Relationship Id="rId1" Type="http://schemas.openxmlformats.org/officeDocument/2006/relationships/hyperlink" Target="https://www.consultant.ru" TargetMode = "External"/>
</Relationships>
</file>

<file path=word/_rels/header1.xml.rels>&#65279;<?xml version="1.0" encoding="UTF-8" standalone="yes"?>
<Relationships xmlns="http://schemas.openxmlformats.org/package/2006/relationships">
	<Relationship Id="rId1" Type="http://schemas.openxmlformats.org/officeDocument/2006/relationships/hyperlink" Target="https://www.consultant.ru" TargetMode = "External"/>
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КонсультантПлюс Версия 4024.00.50</Application>
  <Company>КонсультантПлюс Версия 4024.00.50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Федеральный закон от 23.07.2025 N 230-ФЗ
"О внесении изменений в статью 333.36 части второй Налогового кодекса Российской Федерации"</dc:title>
  <dcterms:created xsi:type="dcterms:W3CDTF">2025-08-01T16:32:04Z</dcterms:created>
</cp:coreProperties>
</file>