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23.07.2025 N 248-ФЗ</w:t>
              <w:br/>
              <w:t xml:space="preserve">"О внесении изменений в отдельные законодательные акты Российской Федерации"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23 июля 2025 года</w:t>
            </w:r>
          </w:p>
        </w:tc>
        <w:tc>
          <w:tcPr>
            <w:tcW w:w="5103" w:type="dxa"/>
            <w:tcBorders>
              <w:top w:val="nil"/>
              <w:left w:val="nil"/>
              <w:bottom w:val="nil"/>
              <w:right w:val="nil"/>
            </w:tcBorders>
          </w:tcPr>
          <w:p>
            <w:pPr>
              <w:pStyle w:val="0"/>
              <w:jc w:val="right"/>
            </w:pPr>
            <w:r>
              <w:rPr>
                <w:sz w:val="24"/>
              </w:rPr>
              <w:t xml:space="preserve">N 248-ФЗ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ind w:firstLine="540"/>
        <w:jc w:val="both"/>
      </w:pPr>
      <w:r>
        <w:rPr>
          <w:sz w:val="24"/>
        </w:rPr>
      </w:r>
    </w:p>
    <w:p>
      <w:pPr>
        <w:pStyle w:val="2"/>
        <w:jc w:val="center"/>
      </w:pPr>
      <w:r>
        <w:rPr>
          <w:sz w:val="24"/>
        </w:rPr>
        <w:t xml:space="preserve">О ВНЕСЕНИИ ИЗМЕНЕНИЙ</w:t>
      </w:r>
    </w:p>
    <w:p>
      <w:pPr>
        <w:pStyle w:val="2"/>
        <w:jc w:val="center"/>
      </w:pPr>
      <w:r>
        <w:rPr>
          <w:sz w:val="24"/>
        </w:rPr>
        <w:t xml:space="preserve">В ОТДЕЛЬНЫЕ ЗАКОНОДАТЕЛЬНЫЕ АКТЫ РОССИЙСКОЙ ФЕДЕРАЦИИ</w:t>
      </w:r>
    </w:p>
    <w:p>
      <w:pPr>
        <w:pStyle w:val="0"/>
        <w:ind w:firstLine="540"/>
        <w:jc w:val="both"/>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15 июля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16 июля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hyperlink w:history="0" r:id="rId7" w:tooltip="Закон РФ от 07.02.1992 N 2300-1 (ред. от 07.07.2025) &quot;О защите прав потребителей&quot; ------------ Редакция с изменениями, не вступившими в силу {КонсультантПлюс}">
        <w:r>
          <w:rPr>
            <w:sz w:val="24"/>
            <w:color w:val="0000ff"/>
          </w:rPr>
          <w:t xml:space="preserve">Пункт 1 статьи 16.1</w:t>
        </w:r>
      </w:hyperlink>
      <w:r>
        <w:rPr>
          <w:sz w:val="24"/>
        </w:rPr>
        <w:t xml:space="preserve"> Закона Российской Федерации от 7 февраля 1992 года N 2300-I "О защите прав потребителей" (в редакции Федерального закона от 9 января 1996 года N 2-ФЗ) (Ведомости Съезда народных депутатов Российской Федерации и Верховного Совета Российской Федерации, 1992, N 15, ст. 766; Собрание законодательства Российской Федерации, 1996, N 3, ст. 140; 2014, N 19, ст. 2317; 2016, N 27, ст. 4198; 2017, N 18, ст. 2665; 2020, N 31, ст. 5049) дополнить абзацами пятым - седьмым следующего содержания:</w:t>
      </w:r>
    </w:p>
    <w:p>
      <w:pPr>
        <w:pStyle w:val="0"/>
        <w:spacing w:before="240" w:line-rule="auto"/>
        <w:ind w:firstLine="540"/>
        <w:jc w:val="both"/>
      </w:pPr>
      <w:r>
        <w:rPr>
          <w:sz w:val="24"/>
        </w:rPr>
        <w:t xml:space="preserve">"Продавец (исполнитель, владелец агрегатора), у которого выручка от реализации товаров (выполнения работ, оказания услуг) за предшествующий календарный год превышает двадцать миллионов рублей, обязан обеспечить потребителю возможность оплаты товаров (работ, услуг) путем перевода цифровых рублей.</w:t>
      </w:r>
    </w:p>
    <w:p>
      <w:pPr>
        <w:pStyle w:val="0"/>
        <w:spacing w:before="240" w:line-rule="auto"/>
        <w:ind w:firstLine="540"/>
        <w:jc w:val="both"/>
      </w:pPr>
      <w:r>
        <w:rPr>
          <w:sz w:val="24"/>
        </w:rPr>
        <w:t xml:space="preserve">Если место оплаты товаров (работ, услуг) находится в месте, где не предоставляются услуги доступа к подвижной радиотелефонной связи и (или) средствам коллективного доступа к информационно-телекоммуникационной сети "Интернет", продавец (исполнитель, владелец агрегатора) освобождается от обязанности обеспечить в этом месте возможность оплаты товаров (работ, услуг) путем перевода цифровых рублей.</w:t>
      </w:r>
    </w:p>
    <w:p>
      <w:pPr>
        <w:pStyle w:val="0"/>
        <w:spacing w:before="240" w:line-rule="auto"/>
        <w:ind w:firstLine="540"/>
        <w:jc w:val="both"/>
      </w:pPr>
      <w:r>
        <w:rPr>
          <w:sz w:val="24"/>
        </w:rPr>
        <w:t xml:space="preserve">Продавец освобождается от обязанности обеспечить потребителю возможность оплаты товаров путем перевода цифровых рублей в торговом объекте, выручка от реализации товаров в котором составляет менее пяти миллионов рублей за предшествующий календарный год.".</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Внести в </w:t>
      </w:r>
      <w:hyperlink w:history="0" r:id="rId8" w:tooltip="Федеральный закон от 10.07.2002 N 86-ФЗ (ред. от 23.05.2025) &quot;О Центральном банке Российской Федерации (Банке России)&quot; (с изм. и доп., вступ. в силу с 01.10.2025) ------------ Редакция с изменениями, не вступившими в силу {КонсультантПлюс}">
        <w:r>
          <w:rPr>
            <w:sz w:val="24"/>
            <w:color w:val="0000ff"/>
          </w:rPr>
          <w:t xml:space="preserve">статью 18</w:t>
        </w:r>
      </w:hyperlink>
      <w:r>
        <w:rPr>
          <w:sz w:val="24"/>
        </w:rPr>
        <w:t xml:space="preserve"> Федерального закона от 10 июля 2002 года N 86-ФЗ "О Центральном банке Российской Федерации (Банке России)" (Собрание законодательства Российской Федерации, 2002, N 28, ст. 2790; 2004, N 31, ст. 3233; 2005, N 25, ст. 2426; 2008, N 44, ст. 4982; 2010, N 45, ст. 5756; 2011, N 48, ст. 6728; 2013, N 30, ст. 4084; N 49, ст. 6336; 2014, N 30, ст. 4219; N 52, ст. 7543; 2016, N 1, ст. 46; 2017, N 18, ст. 2661; N 30, ст. 4456; 2018, N 11, ст. 1584, 1588; N 18, ст. 2557; N 24, ст. 3400; N 32, ст. 5115; 2019, N 27, ст. 3538; N 31, ст. 4423, 4430; N 52, ст. 7787; 2020, N 14, ст. 2027, 2036; 2021, N 1, ст. 53; N 17, ст. 2887; N 24, ст. 4210; N 27, ст. 5187; N 50, ст. 8405; N 52, ст. 8982; 2023, N 31, ст. 5766; 2024, N 18, ст. 2410; N 33, ст. 4971; 2025, N 9, ст. 847) следующие изменения:</w:t>
      </w:r>
    </w:p>
    <w:p>
      <w:pPr>
        <w:pStyle w:val="0"/>
        <w:spacing w:before="240" w:line-rule="auto"/>
        <w:ind w:firstLine="540"/>
        <w:jc w:val="both"/>
      </w:pPr>
      <w:r>
        <w:rPr>
          <w:sz w:val="24"/>
        </w:rPr>
        <w:t xml:space="preserve">1) в </w:t>
      </w:r>
      <w:hyperlink w:history="0" r:id="rId9" w:tooltip="Федеральный закон от 10.07.2002 N 86-ФЗ (ред. от 23.05.2025) &quot;О Центральном банке Российской Федерации (Банке России)&quot; (с изм. и доп., вступ. в силу с 01.10.2025) ------------ Редакция с изменениями, не вступившими в силу {КонсультантПлюс}">
        <w:r>
          <w:rPr>
            <w:sz w:val="24"/>
            <w:color w:val="0000ff"/>
          </w:rPr>
          <w:t xml:space="preserve">части первой</w:t>
        </w:r>
      </w:hyperlink>
      <w:r>
        <w:rPr>
          <w:sz w:val="24"/>
        </w:rPr>
        <w:t xml:space="preserve">:</w:t>
      </w:r>
    </w:p>
    <w:p>
      <w:pPr>
        <w:pStyle w:val="0"/>
        <w:spacing w:before="240" w:line-rule="auto"/>
        <w:ind w:firstLine="540"/>
        <w:jc w:val="both"/>
      </w:pPr>
      <w:r>
        <w:rPr>
          <w:sz w:val="24"/>
        </w:rPr>
        <w:t xml:space="preserve">а) </w:t>
      </w:r>
      <w:hyperlink w:history="0" r:id="rId10" w:tooltip="Федеральный закон от 10.07.2002 N 86-ФЗ (ред. от 23.05.2025) &quot;О Центральном банке Российской Федерации (Банке России)&quot; (с изм. и доп., вступ. в силу с 01.10.2025) ------------ Редакция с изменениями, не вступившими в силу {КонсультантПлюс}">
        <w:r>
          <w:rPr>
            <w:sz w:val="24"/>
            <w:color w:val="0000ff"/>
          </w:rPr>
          <w:t xml:space="preserve">пункт 17.19</w:t>
        </w:r>
      </w:hyperlink>
      <w:r>
        <w:rPr>
          <w:sz w:val="24"/>
        </w:rPr>
        <w:t xml:space="preserve"> изложить в следующей редакции:</w:t>
      </w:r>
    </w:p>
    <w:p>
      <w:pPr>
        <w:pStyle w:val="0"/>
        <w:spacing w:before="240" w:line-rule="auto"/>
        <w:ind w:firstLine="540"/>
        <w:jc w:val="both"/>
      </w:pPr>
      <w:r>
        <w:rPr>
          <w:sz w:val="24"/>
        </w:rPr>
        <w:t xml:space="preserve">"17.19) определяет перечень операций с цифровыми рублями, суммы операций с цифровыми рублями, порядок и сроки обеспечения кредитными организациями, филиалами иностранных банков возможности совершения операций с цифровыми рублями для своих клиентов;";</w:t>
      </w:r>
    </w:p>
    <w:p>
      <w:pPr>
        <w:pStyle w:val="0"/>
        <w:spacing w:before="240" w:line-rule="auto"/>
        <w:ind w:firstLine="540"/>
        <w:jc w:val="both"/>
      </w:pPr>
      <w:r>
        <w:rPr>
          <w:sz w:val="24"/>
        </w:rPr>
        <w:t xml:space="preserve">б) </w:t>
      </w:r>
      <w:hyperlink w:history="0" r:id="rId11" w:tooltip="Федеральный закон от 10.07.2002 N 86-ФЗ (ред. от 23.05.2025) &quot;О Центральном банке Российской Федерации (Банке России)&quot; (с изм. и доп., вступ. в силу с 01.10.2025) ------------ Редакция с изменениями, не вступившими в силу {КонсультантПлюс}">
        <w:r>
          <w:rPr>
            <w:sz w:val="24"/>
            <w:color w:val="0000ff"/>
          </w:rPr>
          <w:t xml:space="preserve">дополнить</w:t>
        </w:r>
      </w:hyperlink>
      <w:r>
        <w:rPr>
          <w:sz w:val="24"/>
        </w:rPr>
        <w:t xml:space="preserve"> пунктом 17.21 следующего содержания:</w:t>
      </w:r>
    </w:p>
    <w:p>
      <w:pPr>
        <w:pStyle w:val="0"/>
        <w:spacing w:before="240" w:line-rule="auto"/>
        <w:ind w:firstLine="540"/>
        <w:jc w:val="both"/>
      </w:pPr>
      <w:r>
        <w:rPr>
          <w:sz w:val="24"/>
        </w:rPr>
        <w:t xml:space="preserve">"17.21) определяет сроки обеспечения кредитными организациями, филиалами иностранных банков возможности осуществления клиентами переводов денежных средств, в том числе переводов цифровых рублей, с использованием универсального платежного кода;";</w:t>
      </w:r>
    </w:p>
    <w:p>
      <w:pPr>
        <w:pStyle w:val="0"/>
        <w:spacing w:before="240" w:line-rule="auto"/>
        <w:ind w:firstLine="540"/>
        <w:jc w:val="both"/>
      </w:pPr>
      <w:r>
        <w:rPr>
          <w:sz w:val="24"/>
        </w:rPr>
        <w:t xml:space="preserve">2) в </w:t>
      </w:r>
      <w:hyperlink w:history="0" r:id="rId12" w:tooltip="Федеральный закон от 10.07.2002 N 86-ФЗ (ред. от 23.05.2025) &quot;О Центральном банке Российской Федерации (Банке России)&quot; (с изм. и доп., вступ. в силу с 01.10.2025) ------------ Редакция с изменениями, не вступившими в силу {КонсультантПлюс}">
        <w:r>
          <w:rPr>
            <w:sz w:val="24"/>
            <w:color w:val="0000ff"/>
          </w:rPr>
          <w:t xml:space="preserve">части второй</w:t>
        </w:r>
      </w:hyperlink>
      <w:r>
        <w:rPr>
          <w:sz w:val="24"/>
        </w:rPr>
        <w:t xml:space="preserve"> слова "определения перечня операций, суммы операций и сроков обеспечения кредитными организациями возможности совершения операций с цифровыми рублями для своих клиентов" заменить словами "определения перечня операций с цифровыми рублями, суммы операций с цифровыми рублями, порядка и сроков обеспечения кредитными организациями, филиалами иностранных банков возможности совершения операций с цифровыми рублями для своих клиентов, определения сроков обеспечения кредитными организациями, филиалами иностранных банков возможности осуществления клиентами переводов денежных средств, в том числе переводов цифровых рублей, с использованием универсального платежного кода".</w:t>
      </w:r>
    </w:p>
    <w:p>
      <w:pPr>
        <w:pStyle w:val="0"/>
        <w:ind w:firstLine="540"/>
        <w:jc w:val="both"/>
      </w:pPr>
      <w:r>
        <w:rPr>
          <w:sz w:val="24"/>
        </w:rPr>
      </w:r>
    </w:p>
    <w:p>
      <w:pPr>
        <w:pStyle w:val="2"/>
        <w:outlineLvl w:val="0"/>
        <w:ind w:firstLine="540"/>
        <w:jc w:val="both"/>
      </w:pPr>
      <w:r>
        <w:rPr>
          <w:sz w:val="24"/>
        </w:rPr>
        <w:t xml:space="preserve">Статья 3</w:t>
      </w:r>
    </w:p>
    <w:p>
      <w:pPr>
        <w:pStyle w:val="0"/>
        <w:ind w:firstLine="540"/>
        <w:jc w:val="both"/>
      </w:pPr>
      <w:r>
        <w:rPr>
          <w:sz w:val="24"/>
        </w:rPr>
      </w:r>
    </w:p>
    <w:p>
      <w:pPr>
        <w:pStyle w:val="0"/>
        <w:ind w:firstLine="540"/>
        <w:jc w:val="both"/>
      </w:pPr>
      <w:r>
        <w:rPr>
          <w:sz w:val="24"/>
        </w:rPr>
        <w:t xml:space="preserve">Внести в Федеральный </w:t>
      </w:r>
      <w:hyperlink w:history="0" r:id="rId13" w:tooltip="Федеральный закон от 27.06.2011 N 161-ФЗ (ред. от 23.05.2025) &quot;О национальной платежной системе&quot; (с изм. и доп., вступ. в силу с 01.10.2025) ------------ Редакция с изменениями, не вступившими в силу {КонсультантПлюс}">
        <w:r>
          <w:rPr>
            <w:sz w:val="24"/>
            <w:color w:val="0000ff"/>
          </w:rPr>
          <w:t xml:space="preserve">закон</w:t>
        </w:r>
      </w:hyperlink>
      <w:r>
        <w:rPr>
          <w:sz w:val="24"/>
        </w:rPr>
        <w:t xml:space="preserve"> от 27 июня 2011 года N 161-ФЗ "О национальной платежной системе" (Собрание законодательства Российской Федерации, 2011, N 27, ст. 3872; 2013, N 52, ст. 6968; 2014, N 19, ст. 2315, 2317; 2015, N 1, ст. 8; 2016, N 27, ст. 4223; 2017, N 18, ст. 2665; 2018, N 27, ст. 3950; 2019, N 27, ст. 3538; N 31, ст. 4418, 4423; 2020, N 30, ст. 4738; N 31, ст. 5018; 2021, N 1, ст. 38; 2022, N 29, ст. 5298; 2023, N 31, ст. 5766, 5795; 2024, N 33, ст. 4971; N 48, ст. 7219; 2025, N 7, ст. 541; N 21, ст. 2526) следующие изменения:</w:t>
      </w:r>
    </w:p>
    <w:p>
      <w:pPr>
        <w:pStyle w:val="0"/>
        <w:spacing w:before="240" w:line-rule="auto"/>
        <w:ind w:firstLine="540"/>
        <w:jc w:val="both"/>
      </w:pPr>
      <w:r>
        <w:rPr>
          <w:sz w:val="24"/>
        </w:rPr>
        <w:t xml:space="preserve">1) в </w:t>
      </w:r>
      <w:hyperlink w:history="0" r:id="rId14" w:tooltip="Федеральный закон от 27.06.2011 N 161-ФЗ (ред. от 23.05.2025) &quot;О национальной платежной системе&quot; (с изм. и доп., вступ. в силу с 01.10.2025) ------------ Редакция с изменениями, не вступившими в силу {КонсультантПлюс}">
        <w:r>
          <w:rPr>
            <w:sz w:val="24"/>
            <w:color w:val="0000ff"/>
          </w:rPr>
          <w:t xml:space="preserve">статье 3</w:t>
        </w:r>
      </w:hyperlink>
      <w:r>
        <w:rPr>
          <w:sz w:val="24"/>
        </w:rPr>
        <w:t xml:space="preserve">:</w:t>
      </w:r>
    </w:p>
    <w:p>
      <w:pPr>
        <w:pStyle w:val="0"/>
        <w:spacing w:before="240" w:line-rule="auto"/>
        <w:ind w:firstLine="540"/>
        <w:jc w:val="both"/>
      </w:pPr>
      <w:r>
        <w:rPr>
          <w:sz w:val="24"/>
        </w:rPr>
        <w:t xml:space="preserve">а) </w:t>
      </w:r>
      <w:hyperlink w:history="0" r:id="rId15" w:tooltip="Федеральный закон от 27.06.2011 N 161-ФЗ (ред. от 23.05.2025) &quot;О национальной платежной системе&quot; (с изм. и доп., вступ. в силу с 01.10.2025) ------------ Редакция с изменениями, не вступившими в силу {КонсультантПлюс}">
        <w:r>
          <w:rPr>
            <w:sz w:val="24"/>
            <w:color w:val="0000ff"/>
          </w:rPr>
          <w:t xml:space="preserve">пункт 1</w:t>
        </w:r>
      </w:hyperlink>
      <w:r>
        <w:rPr>
          <w:sz w:val="24"/>
        </w:rPr>
        <w:t xml:space="preserve"> после слов "участников платформы цифрового рубля" дополнить словами ", оператора услуг по предоставлению универсального платежного кода";</w:t>
      </w:r>
    </w:p>
    <w:p>
      <w:pPr>
        <w:pStyle w:val="0"/>
        <w:spacing w:before="240" w:line-rule="auto"/>
        <w:ind w:firstLine="540"/>
        <w:jc w:val="both"/>
      </w:pPr>
      <w:r>
        <w:rPr>
          <w:sz w:val="24"/>
        </w:rPr>
        <w:t xml:space="preserve">б) </w:t>
      </w:r>
      <w:hyperlink w:history="0" r:id="rId16" w:tooltip="Федеральный закон от 27.06.2011 N 161-ФЗ (ред. от 23.05.2025) &quot;О национальной платежной системе&quot; (с изм. и доп., вступ. в силу с 01.10.2025) ------------ Редакция с изменениями, не вступившими в силу {КонсультантПлюс}">
        <w:r>
          <w:rPr>
            <w:sz w:val="24"/>
            <w:color w:val="0000ff"/>
          </w:rPr>
          <w:t xml:space="preserve">дополнить</w:t>
        </w:r>
      </w:hyperlink>
      <w:r>
        <w:rPr>
          <w:sz w:val="24"/>
        </w:rPr>
        <w:t xml:space="preserve"> пунктами 42 и 43 следующего содержания:</w:t>
      </w:r>
    </w:p>
    <w:p>
      <w:pPr>
        <w:pStyle w:val="0"/>
        <w:spacing w:before="240" w:line-rule="auto"/>
        <w:ind w:firstLine="540"/>
        <w:jc w:val="both"/>
      </w:pPr>
      <w:r>
        <w:rPr>
          <w:sz w:val="24"/>
        </w:rPr>
        <w:t xml:space="preserve">"42) универсальный платежный код - информация в графическом или ином виде, формируемая в соответствии с правилами оператора услуг по предоставлению универсального платежного кода, позволяющая осуществить ее считывание с использованием программного обеспечения, установленного на техническом устройстве плательщика, и получить в электронном виде после считывания такой информации реквизиты перевода или ссылку на реквизиты перевода, для составления распоряжения в целях перевода денежных средств, в том числе перевода цифровых рублей, получателю средств в оплату товаров (работ, услуг). Под ссылкой на реквизиты перевода понимается указатель страницы сайта в информационно-телекоммуникационной сети "Интернет", позволяющий получить информацию о реквизитах перевода;</w:t>
      </w:r>
    </w:p>
    <w:p>
      <w:pPr>
        <w:pStyle w:val="0"/>
        <w:spacing w:before="240" w:line-rule="auto"/>
        <w:ind w:firstLine="540"/>
        <w:jc w:val="both"/>
      </w:pPr>
      <w:r>
        <w:rPr>
          <w:sz w:val="24"/>
        </w:rPr>
        <w:t xml:space="preserve">43) оператор услуг по предоставлению универсального платежного кода - оператор информационной системы, которая позволяет операторам по переводу денежных средств, являющимся кредитными организациями или филиалами иностранных банков, оператору платформы цифрового рубля, операторам услуг информационного обмена, банковским платежным агентам, осуществляющим операции платежного агрегатора, получать в электронном виде реквизиты перевода или ссылку на реквизиты перевода.";</w:t>
      </w:r>
    </w:p>
    <w:p>
      <w:pPr>
        <w:pStyle w:val="0"/>
        <w:spacing w:before="240" w:line-rule="auto"/>
        <w:ind w:firstLine="540"/>
        <w:jc w:val="both"/>
      </w:pPr>
      <w:r>
        <w:rPr>
          <w:sz w:val="24"/>
        </w:rPr>
        <w:t xml:space="preserve">2) </w:t>
      </w:r>
      <w:hyperlink w:history="0" r:id="rId17" w:tooltip="Федеральный закон от 27.06.2011 N 161-ФЗ (ред. от 23.05.2025) &quot;О национальной платежной системе&quot; (с изм. и доп., вступ. в силу с 01.10.2025) ------------ Редакция с изменениями, не вступившими в силу {КонсультантПлюс}">
        <w:r>
          <w:rPr>
            <w:sz w:val="24"/>
            <w:color w:val="0000ff"/>
          </w:rPr>
          <w:t xml:space="preserve">статью 7.1</w:t>
        </w:r>
      </w:hyperlink>
      <w:r>
        <w:rPr>
          <w:sz w:val="24"/>
        </w:rPr>
        <w:t xml:space="preserve"> дополнить частями 3.1 - 3.3 следующего содержания:</w:t>
      </w:r>
    </w:p>
    <w:p>
      <w:pPr>
        <w:pStyle w:val="0"/>
        <w:spacing w:before="240" w:line-rule="auto"/>
        <w:ind w:firstLine="540"/>
        <w:jc w:val="both"/>
      </w:pPr>
      <w:r>
        <w:rPr>
          <w:sz w:val="24"/>
        </w:rPr>
        <w:t xml:space="preserve">"3.1. Перевод цифровых рублей плательщиком, являющимся физическим лицом, в пользу юридических лиц и индивидуальных предпринимателей в целях оплаты товаров (работ, услуг) осуществляется с использованием универсального платежного кода, если иное не предусмотрено правилами платформы цифрового рубля.</w:t>
      </w:r>
    </w:p>
    <w:p>
      <w:pPr>
        <w:pStyle w:val="0"/>
        <w:spacing w:before="240" w:line-rule="auto"/>
        <w:ind w:firstLine="540"/>
        <w:jc w:val="both"/>
      </w:pPr>
      <w:r>
        <w:rPr>
          <w:sz w:val="24"/>
        </w:rPr>
        <w:t xml:space="preserve">3.2. Действие положений части 3.1 настоящей статьи распространяется также на случаи перевода цифровых рублей в пользу нотариусов, занимающихся частной практикой, адвокатов, учредивших адвокатские кабинеты, медиаторов, арбитражных управляющих, оценщиков, патентных поверенных и иных лиц, занимающихся в установленном законодательством Российской Федерации порядке частной практикой, а также физических лиц, применяющих специальный налоговый режим "Налог на профессиональный доход".</w:t>
      </w:r>
    </w:p>
    <w:p>
      <w:pPr>
        <w:pStyle w:val="0"/>
        <w:spacing w:before="240" w:line-rule="auto"/>
        <w:ind w:firstLine="540"/>
        <w:jc w:val="both"/>
      </w:pPr>
      <w:r>
        <w:rPr>
          <w:sz w:val="24"/>
        </w:rPr>
        <w:t xml:space="preserve">3.3. Участники платформы цифрового рубля, являющиеся кредитными организациями или филиалами иностранных банков, обязаны обеспечивать пользователям платформы цифрового рубля возможность осуществления переводов цифровых рублей с использованием универсального платежного кода.";</w:t>
      </w:r>
    </w:p>
    <w:p>
      <w:pPr>
        <w:pStyle w:val="0"/>
        <w:spacing w:before="240" w:line-rule="auto"/>
        <w:ind w:firstLine="540"/>
        <w:jc w:val="both"/>
      </w:pPr>
      <w:r>
        <w:rPr>
          <w:sz w:val="24"/>
        </w:rPr>
        <w:t xml:space="preserve">3) </w:t>
      </w:r>
      <w:hyperlink w:history="0" r:id="rId18" w:tooltip="Федеральный закон от 27.06.2011 N 161-ФЗ (ред. от 23.05.2025) &quot;О национальной платежной системе&quot; (с изм. и доп., вступ. в силу с 01.10.2025) ------------ Редакция с изменениями, не вступившими в силу {КонсультантПлюс}">
        <w:r>
          <w:rPr>
            <w:sz w:val="24"/>
            <w:color w:val="0000ff"/>
          </w:rPr>
          <w:t xml:space="preserve">статью 8</w:t>
        </w:r>
      </w:hyperlink>
      <w:r>
        <w:rPr>
          <w:sz w:val="24"/>
        </w:rPr>
        <w:t xml:space="preserve"> дополнить частями 20 - 22 следующего содержания:</w:t>
      </w:r>
    </w:p>
    <w:p>
      <w:pPr>
        <w:pStyle w:val="0"/>
        <w:spacing w:before="240" w:line-rule="auto"/>
        <w:ind w:firstLine="540"/>
        <w:jc w:val="both"/>
      </w:pPr>
      <w:r>
        <w:rPr>
          <w:sz w:val="24"/>
        </w:rPr>
        <w:t xml:space="preserve">"20. Оператор по переводу денежных средств, являющийся кредитной организацией или филиалом иностранного банка, предоставляющий клиентам электронные средства платежа, которые позволяют осуществить считывание информации в графическом или ином виде и получить в электронном виде реквизиты перевода или ссылку на реквизиты перевода, обязан предоставлять клиентам такие реквизиты перевода или ссылку на реквизиты перевода только с использованием универсального платежного кода.</w:t>
      </w:r>
    </w:p>
    <w:p>
      <w:pPr>
        <w:pStyle w:val="0"/>
        <w:spacing w:before="240" w:line-rule="auto"/>
        <w:ind w:firstLine="540"/>
        <w:jc w:val="both"/>
      </w:pPr>
      <w:r>
        <w:rPr>
          <w:sz w:val="24"/>
        </w:rPr>
        <w:t xml:space="preserve">21. Оператор по переводу денежных средств, являющийся кредитной организацией или филиалом иностранного банка, осуществляющий прием электронных средств платежа, указанных в части 20 настоящей статьи, обязан при осуществлении расчетов в безналичном порядке обеспечить возможность использования универсального платежного кода во всех своих программных средствах и (или) технических устройствах, применяемых при осуществлении расчетов в безналичном порядке, а также в программных средствах и (или) технических устройствах, применяемых клиентами, реализующими товары (работы, услуги), при осуществлении расчетов в безналичном порядке.</w:t>
      </w:r>
    </w:p>
    <w:p>
      <w:pPr>
        <w:pStyle w:val="0"/>
        <w:spacing w:before="240" w:line-rule="auto"/>
        <w:ind w:firstLine="540"/>
        <w:jc w:val="both"/>
      </w:pPr>
      <w:r>
        <w:rPr>
          <w:sz w:val="24"/>
        </w:rPr>
        <w:t xml:space="preserve">22. Действие положений частей 20 и 21 настоящей статьи не распространяется на случаи осуществления трансграничных переводов денежных средств.";</w:t>
      </w:r>
    </w:p>
    <w:p>
      <w:pPr>
        <w:pStyle w:val="0"/>
        <w:spacing w:before="240" w:line-rule="auto"/>
        <w:ind w:firstLine="540"/>
        <w:jc w:val="both"/>
      </w:pPr>
      <w:r>
        <w:rPr>
          <w:sz w:val="24"/>
        </w:rPr>
        <w:t xml:space="preserve">4) в </w:t>
      </w:r>
      <w:hyperlink w:history="0" r:id="rId19" w:tooltip="Федеральный закон от 27.06.2011 N 161-ФЗ (ред. от 23.05.2025) &quot;О национальной платежной системе&quot; (с изм. и доп., вступ. в силу с 01.10.2025) ------------ Редакция с изменениями, не вступившими в силу {КонсультантПлюс}">
        <w:r>
          <w:rPr>
            <w:sz w:val="24"/>
            <w:color w:val="0000ff"/>
          </w:rPr>
          <w:t xml:space="preserve">статье 26</w:t>
        </w:r>
      </w:hyperlink>
      <w:r>
        <w:rPr>
          <w:sz w:val="24"/>
        </w:rPr>
        <w:t xml:space="preserve"> слова "и банковские платежные агенты (субагенты)" заменить словами ", банковские платежные агенты (субагенты), оператор услуг по предоставлению универсального платежного кода";</w:t>
      </w:r>
    </w:p>
    <w:p>
      <w:pPr>
        <w:pStyle w:val="0"/>
        <w:spacing w:before="240" w:line-rule="auto"/>
        <w:ind w:firstLine="540"/>
        <w:jc w:val="both"/>
      </w:pPr>
      <w:r>
        <w:rPr>
          <w:sz w:val="24"/>
        </w:rPr>
        <w:t xml:space="preserve">5) </w:t>
      </w:r>
      <w:hyperlink w:history="0" r:id="rId20" w:tooltip="Федеральный закон от 27.06.2011 N 161-ФЗ (ред. от 23.05.2025) &quot;О национальной платежной системе&quot; (с изм. и доп., вступ. в силу с 01.10.2025) ------------ Редакция с изменениями, не вступившими в силу {КонсультантПлюс}">
        <w:r>
          <w:rPr>
            <w:sz w:val="24"/>
            <w:color w:val="0000ff"/>
          </w:rPr>
          <w:t xml:space="preserve">главу 4.1</w:t>
        </w:r>
      </w:hyperlink>
      <w:r>
        <w:rPr>
          <w:sz w:val="24"/>
        </w:rPr>
        <w:t xml:space="preserve"> дополнить статьей 30.6-2 следующего содержания:</w:t>
      </w:r>
    </w:p>
    <w:p>
      <w:pPr>
        <w:pStyle w:val="0"/>
        <w:ind w:firstLine="540"/>
        <w:jc w:val="both"/>
      </w:pPr>
      <w:r>
        <w:rPr>
          <w:sz w:val="24"/>
        </w:rPr>
      </w:r>
    </w:p>
    <w:p>
      <w:pPr>
        <w:pStyle w:val="0"/>
        <w:ind w:firstLine="540"/>
        <w:jc w:val="both"/>
      </w:pPr>
      <w:r>
        <w:rPr>
          <w:sz w:val="24"/>
        </w:rPr>
        <w:t xml:space="preserve">"Статья 30.6-2. Оператор услуг по предоставлению универсального платежного кода и его обязанности</w:t>
      </w:r>
    </w:p>
    <w:p>
      <w:pPr>
        <w:pStyle w:val="0"/>
        <w:ind w:firstLine="540"/>
        <w:jc w:val="both"/>
      </w:pPr>
      <w:r>
        <w:rPr>
          <w:sz w:val="24"/>
        </w:rPr>
      </w:r>
    </w:p>
    <w:p>
      <w:pPr>
        <w:pStyle w:val="0"/>
        <w:ind w:firstLine="540"/>
        <w:jc w:val="both"/>
      </w:pPr>
      <w:r>
        <w:rPr>
          <w:sz w:val="24"/>
        </w:rPr>
        <w:t xml:space="preserve">1. Оператором услуг по предоставлению универсального платежного кода является оператор национальной системы платежных карт.</w:t>
      </w:r>
    </w:p>
    <w:p>
      <w:pPr>
        <w:pStyle w:val="0"/>
        <w:spacing w:before="240" w:line-rule="auto"/>
        <w:ind w:firstLine="540"/>
        <w:jc w:val="both"/>
      </w:pPr>
      <w:r>
        <w:rPr>
          <w:sz w:val="24"/>
        </w:rPr>
        <w:t xml:space="preserve">2. Оператор услуг по предоставлению универсального платежного кода обязан:</w:t>
      </w:r>
    </w:p>
    <w:p>
      <w:pPr>
        <w:pStyle w:val="0"/>
        <w:spacing w:before="240" w:line-rule="auto"/>
        <w:ind w:firstLine="540"/>
        <w:jc w:val="both"/>
      </w:pPr>
      <w:r>
        <w:rPr>
          <w:sz w:val="24"/>
        </w:rPr>
        <w:t xml:space="preserve">1) утвердить правила оказания услуг по предоставлению универсального платежного кода;</w:t>
      </w:r>
    </w:p>
    <w:p>
      <w:pPr>
        <w:pStyle w:val="0"/>
        <w:spacing w:before="240" w:line-rule="auto"/>
        <w:ind w:firstLine="540"/>
        <w:jc w:val="both"/>
      </w:pPr>
      <w:r>
        <w:rPr>
          <w:sz w:val="24"/>
        </w:rPr>
        <w:t xml:space="preserve">2) без взимания платы оказывать услуги по предоставлению универсального платежного кода операторам по переводу денежных средств, являющимся кредитными организациями или филиалами иностранных банков, оператору платформы цифрового рубля, операторам услуг информационного обмена, банковским платежным агентам, осуществляющим операции платежного агрегатора;</w:t>
      </w:r>
    </w:p>
    <w:p>
      <w:pPr>
        <w:pStyle w:val="0"/>
        <w:spacing w:before="240" w:line-rule="auto"/>
        <w:ind w:firstLine="540"/>
        <w:jc w:val="both"/>
      </w:pPr>
      <w:r>
        <w:rPr>
          <w:sz w:val="24"/>
        </w:rPr>
        <w:t xml:space="preserve">3) обеспечивать неизменность реквизитов перевода, полученных от операторов по переводу денежных средств, являющихся кредитными организациями или филиалами иностранных банков, оператора платформы цифрового рубля, операторов услуг информационного обмена, банковских платежных агентов, осуществляющих операции платежного агрегатора.</w:t>
      </w:r>
    </w:p>
    <w:p>
      <w:pPr>
        <w:pStyle w:val="0"/>
        <w:spacing w:before="240" w:line-rule="auto"/>
        <w:ind w:firstLine="540"/>
        <w:jc w:val="both"/>
      </w:pPr>
      <w:r>
        <w:rPr>
          <w:sz w:val="24"/>
        </w:rPr>
        <w:t xml:space="preserve">3. Правилами оказания услуг по предоставлению универсального платежного кода должны определяться:</w:t>
      </w:r>
    </w:p>
    <w:p>
      <w:pPr>
        <w:pStyle w:val="0"/>
        <w:spacing w:before="240" w:line-rule="auto"/>
        <w:ind w:firstLine="540"/>
        <w:jc w:val="both"/>
      </w:pPr>
      <w:r>
        <w:rPr>
          <w:sz w:val="24"/>
        </w:rPr>
        <w:t xml:space="preserve">1) порядок информационного взаимодействия оператора услуг по предоставлению универсального платежного кода с операторами по переводу денежных средств, являющимися кредитными организациями или филиалами иностранных банков, оператором платформы цифрового рубля, операторами услуг информационного обмена, банковскими платежными агентами, осуществляющими операции платежного агрегатора;</w:t>
      </w:r>
    </w:p>
    <w:p>
      <w:pPr>
        <w:pStyle w:val="0"/>
        <w:spacing w:before="240" w:line-rule="auto"/>
        <w:ind w:firstLine="540"/>
        <w:jc w:val="both"/>
      </w:pPr>
      <w:r>
        <w:rPr>
          <w:sz w:val="24"/>
        </w:rPr>
        <w:t xml:space="preserve">2) порядок формирования универсального платежного кода оператором услуг по предоставлению универсального платежного кода;</w:t>
      </w:r>
    </w:p>
    <w:p>
      <w:pPr>
        <w:pStyle w:val="0"/>
        <w:spacing w:before="240" w:line-rule="auto"/>
        <w:ind w:firstLine="540"/>
        <w:jc w:val="both"/>
      </w:pPr>
      <w:r>
        <w:rPr>
          <w:sz w:val="24"/>
        </w:rPr>
        <w:t xml:space="preserve">3) порядок представления операторами по переводу денежных средств, являющимися кредитными организациями или филиалами иностранных банков, оператору услуг по предоставлению универсального платежного кода информации о предлагаемых ими способах осуществления перевода денежных средств с использованием универсального платежного кода;</w:t>
      </w:r>
    </w:p>
    <w:p>
      <w:pPr>
        <w:pStyle w:val="0"/>
        <w:spacing w:before="240" w:line-rule="auto"/>
        <w:ind w:firstLine="540"/>
        <w:jc w:val="both"/>
      </w:pPr>
      <w:r>
        <w:rPr>
          <w:sz w:val="24"/>
        </w:rPr>
        <w:t xml:space="preserve">4) порядок досудебного рассмотрения возникших при оказании услуг по предоставлению универсального платежного кода споров между оператором услуг по предоставлению универсального платежного кода и операторами по переводу денежных средств, являющимися кредитными организациями или филиалами иностранных банков, оператором платформы цифрового рубля, операторами услуг информационного обмена, банковскими платежными агентами, осуществляющими операции платежного агрегатора;</w:t>
      </w:r>
    </w:p>
    <w:p>
      <w:pPr>
        <w:pStyle w:val="0"/>
        <w:spacing w:before="240" w:line-rule="auto"/>
        <w:ind w:firstLine="540"/>
        <w:jc w:val="both"/>
      </w:pPr>
      <w:r>
        <w:rPr>
          <w:sz w:val="24"/>
        </w:rPr>
        <w:t xml:space="preserve">5) порядок рассмотрения обращений операторов по переводу денежных средств, являющихся кредитными организациями или филиалами иностранных банков, оператора платформы цифрового рубля, операторов услуг информационного обмена, банковских платежных агентов, осуществляющих операции платежного агрегатора.</w:t>
      </w:r>
    </w:p>
    <w:p>
      <w:pPr>
        <w:pStyle w:val="0"/>
        <w:spacing w:before="240" w:line-rule="auto"/>
        <w:ind w:firstLine="540"/>
        <w:jc w:val="both"/>
      </w:pPr>
      <w:r>
        <w:rPr>
          <w:sz w:val="24"/>
        </w:rPr>
        <w:t xml:space="preserve">4. Правила оказания услуг по предоставлению универсального платежного кода могут включать иные положения, необходимые для оказания услуг по предоставлению универсального платежного кода.</w:t>
      </w:r>
    </w:p>
    <w:p>
      <w:pPr>
        <w:pStyle w:val="0"/>
        <w:spacing w:before="240" w:line-rule="auto"/>
        <w:ind w:firstLine="540"/>
        <w:jc w:val="both"/>
      </w:pPr>
      <w:r>
        <w:rPr>
          <w:sz w:val="24"/>
        </w:rPr>
        <w:t xml:space="preserve">5. Сформированный в соответствии с порядком, определенным пунктом 2 части 3 настоящей статьи, универсальный платежный код должен обеспечивать плательщику возможность осуществления перевода денежных средств по реквизитам перевода или с использованием ссылок на реквизиты перевода способами, информация о которых представлена операторами по переводу денежных средств, являющимися кредитными организациями или филиалами иностранных банков, оператору услуг по предоставлению универсального платежного кода в соответствии с пунктом 3 части 3 настоящей статьи.</w:t>
      </w:r>
    </w:p>
    <w:p>
      <w:pPr>
        <w:pStyle w:val="0"/>
        <w:spacing w:before="240" w:line-rule="auto"/>
        <w:ind w:firstLine="540"/>
        <w:jc w:val="both"/>
      </w:pPr>
      <w:r>
        <w:rPr>
          <w:sz w:val="24"/>
        </w:rPr>
        <w:t xml:space="preserve">6. Правила оказания услуг по предоставлению универсального платежного кода являются договором присоединения.</w:t>
      </w:r>
    </w:p>
    <w:p>
      <w:pPr>
        <w:pStyle w:val="0"/>
        <w:spacing w:before="240" w:line-rule="auto"/>
        <w:ind w:firstLine="540"/>
        <w:jc w:val="both"/>
      </w:pPr>
      <w:r>
        <w:rPr>
          <w:sz w:val="24"/>
        </w:rPr>
        <w:t xml:space="preserve">7. Правила оказания услуг по предоставлению универсального платежного кода и изменения в указанные правила подлежат согласованию с Банком России.</w:t>
      </w:r>
    </w:p>
    <w:p>
      <w:pPr>
        <w:pStyle w:val="0"/>
        <w:spacing w:before="240" w:line-rule="auto"/>
        <w:ind w:firstLine="540"/>
        <w:jc w:val="both"/>
      </w:pPr>
      <w:r>
        <w:rPr>
          <w:sz w:val="24"/>
        </w:rPr>
        <w:t xml:space="preserve">8. После утверждения правил оказания услуг по предоставлению универсального платежного кода или изменений в указанные правила оператор услуг по предоставлению универсального платежного кода обязан не позднее пяти календарных дней представить указанные правила (изменения в указанные правила) на согласование в Банк России в порядке, предусмотренном статьей 35.1 настоящего Федерального закона.</w:t>
      </w:r>
    </w:p>
    <w:p>
      <w:pPr>
        <w:pStyle w:val="0"/>
        <w:spacing w:before="240" w:line-rule="auto"/>
        <w:ind w:firstLine="540"/>
        <w:jc w:val="both"/>
      </w:pPr>
      <w:r>
        <w:rPr>
          <w:sz w:val="24"/>
        </w:rPr>
        <w:t xml:space="preserve">9. В срок, не превышающий 30 календарных дней со дня получения правил оказания услуг по предоставлению универсального платежного кода (изменений в указанные правила), Банк России принимает решение о согласовании указанных правил (изменений в указанные правила) либо об отказе в их согласовании.</w:t>
      </w:r>
    </w:p>
    <w:p>
      <w:pPr>
        <w:pStyle w:val="0"/>
        <w:spacing w:before="240" w:line-rule="auto"/>
        <w:ind w:firstLine="540"/>
        <w:jc w:val="both"/>
      </w:pPr>
      <w:r>
        <w:rPr>
          <w:sz w:val="24"/>
        </w:rPr>
        <w:t xml:space="preserve">10. Банк России принимает решение об отказе в согласовании правил оказания услуг по предоставлению универсального платежного кода в случае наличия в указанных правилах положений, не соответствующих требованиям настоящего Федерального закона.</w:t>
      </w:r>
    </w:p>
    <w:p>
      <w:pPr>
        <w:pStyle w:val="0"/>
        <w:spacing w:before="240" w:line-rule="auto"/>
        <w:ind w:firstLine="540"/>
        <w:jc w:val="both"/>
      </w:pPr>
      <w:r>
        <w:rPr>
          <w:sz w:val="24"/>
        </w:rPr>
        <w:t xml:space="preserve">11. Банк России уведомляет в порядке, предусмотренном статьей 35.1 настоящего Федерального закона, оператора услуг по предоставлению универсального платежного кода о принятом решении о согласовании правил оказания услуг по предоставлению универсального платежного кода (изменений в указанные правила) либо об отказе в их согласовании с указанием оснований такого отказа в срок не позднее пяти календарных дней со дня принятия соответствующего решения.</w:t>
      </w:r>
    </w:p>
    <w:p>
      <w:pPr>
        <w:pStyle w:val="0"/>
        <w:spacing w:before="240" w:line-rule="auto"/>
        <w:ind w:firstLine="540"/>
        <w:jc w:val="both"/>
      </w:pPr>
      <w:r>
        <w:rPr>
          <w:sz w:val="24"/>
        </w:rPr>
        <w:t xml:space="preserve">12. Правила оказания услуг по предоставлению универсального платежного кода, включая внесенные изменения в указанные правила, подлежат размещению на сайте оператора услуг по предоставлению универсального платежного кода в информационно-телекоммуникационной сети "Интернет" не менее чем за 60 календарных дней до дня вступления их в силу.</w:t>
      </w:r>
    </w:p>
    <w:p>
      <w:pPr>
        <w:pStyle w:val="0"/>
        <w:spacing w:before="240" w:line-rule="auto"/>
        <w:ind w:firstLine="540"/>
        <w:jc w:val="both"/>
      </w:pPr>
      <w:r>
        <w:rPr>
          <w:sz w:val="24"/>
        </w:rPr>
        <w:t xml:space="preserve">13. Операторы по переводу денежных средств, являющиеся кредитными организациями или филиалами иностранных банков, указанные в части 20 или 21 статьи 8 настоящего Федерального закона, обязаны организовать информационное взаимодействие с оператором услуг по предоставлению универсального платежного кода в целях предоставления клиентам возможности использования универсального платежного кода.";</w:t>
      </w:r>
    </w:p>
    <w:p>
      <w:pPr>
        <w:pStyle w:val="0"/>
        <w:ind w:firstLine="540"/>
        <w:jc w:val="both"/>
      </w:pPr>
      <w:r>
        <w:rPr>
          <w:sz w:val="24"/>
        </w:rPr>
      </w:r>
    </w:p>
    <w:p>
      <w:pPr>
        <w:pStyle w:val="0"/>
        <w:ind w:firstLine="540"/>
        <w:jc w:val="both"/>
      </w:pPr>
      <w:r>
        <w:rPr>
          <w:sz w:val="24"/>
        </w:rPr>
        <w:t xml:space="preserve">6) </w:t>
      </w:r>
      <w:hyperlink w:history="0" r:id="rId21" w:tooltip="Федеральный закон от 27.06.2011 N 161-ФЗ (ред. от 23.05.2025) &quot;О национальной платежной системе&quot; (с изм. и доп., вступ. в силу с 01.10.2025) ------------ Редакция с изменениями, не вступившими в силу {КонсультантПлюс}">
        <w:r>
          <w:rPr>
            <w:sz w:val="24"/>
            <w:color w:val="0000ff"/>
          </w:rPr>
          <w:t xml:space="preserve">статью 30.7</w:t>
        </w:r>
      </w:hyperlink>
      <w:r>
        <w:rPr>
          <w:sz w:val="24"/>
        </w:rPr>
        <w:t xml:space="preserve"> дополнить частью 18.1 следующего содержания:</w:t>
      </w:r>
    </w:p>
    <w:p>
      <w:pPr>
        <w:pStyle w:val="0"/>
        <w:spacing w:before="240" w:line-rule="auto"/>
        <w:ind w:firstLine="540"/>
        <w:jc w:val="both"/>
      </w:pPr>
      <w:r>
        <w:rPr>
          <w:sz w:val="24"/>
        </w:rPr>
        <w:t xml:space="preserve">"18.1. Операторы по переводу денежных средств, являющиеся кредитными организациями, предоставляющие своим клиентам возможность совершать операции с использованием электронного средства платежа, обязаны обеспечивать своим клиентам возможность совершения операций с цифровыми рублями.".</w:t>
      </w:r>
    </w:p>
    <w:p>
      <w:pPr>
        <w:pStyle w:val="0"/>
        <w:ind w:firstLine="540"/>
        <w:jc w:val="both"/>
      </w:pPr>
      <w:r>
        <w:rPr>
          <w:sz w:val="24"/>
        </w:rPr>
      </w:r>
    </w:p>
    <w:p>
      <w:pPr>
        <w:pStyle w:val="2"/>
        <w:outlineLvl w:val="0"/>
        <w:ind w:firstLine="540"/>
        <w:jc w:val="both"/>
      </w:pPr>
      <w:r>
        <w:rPr>
          <w:sz w:val="24"/>
        </w:rPr>
        <w:t xml:space="preserve">Статья 4</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 1 сентября 2026 года.</w:t>
      </w:r>
    </w:p>
    <w:p>
      <w:pPr>
        <w:pStyle w:val="0"/>
        <w:spacing w:before="240" w:line-rule="auto"/>
        <w:ind w:firstLine="540"/>
        <w:jc w:val="both"/>
      </w:pPr>
      <w:r>
        <w:rPr>
          <w:sz w:val="24"/>
        </w:rPr>
        <w:t xml:space="preserve">2. Положения части 18.1 статьи 30.7 Федерального закона от 27 июня 2011 года N 161-ФЗ "О национальной платежной системе" применяются с учетом особенностей, предусмотренных </w:t>
      </w:r>
      <w:hyperlink w:history="0" w:anchor="P86" w:tooltip="3. Предусмотренная частью 18.1 статьи 30.7 Федерального закона от 27 июня 2011 года N 161-ФЗ &quot;О национальной платежной системе&quot; обязанность обеспечивать своим клиентам возможность совершения операций с цифровыми рублями распространяется на операторов по переводу денежных средств, являющихся системно значимыми кредитными организациями или кредитными организациями, признанными Банком России в установленном им порядке значимыми на рынке платежных услуг, с 1 сентября 2026 года.">
        <w:r>
          <w:rPr>
            <w:sz w:val="24"/>
            <w:color w:val="0000ff"/>
          </w:rPr>
          <w:t xml:space="preserve">частями 3</w:t>
        </w:r>
      </w:hyperlink>
      <w:r>
        <w:rPr>
          <w:sz w:val="24"/>
        </w:rPr>
        <w:t xml:space="preserve"> - </w:t>
      </w:r>
      <w:hyperlink w:history="0" w:anchor="P88" w:tooltip="5. Предусмотренная частью 18.1 статьи 30.7 Федерального закона от 27 июня 2011 года N 161-ФЗ &quot;О национальной платежной системе&quot; обязанность обеспечивать своим клиентам возможность совершения операций с цифровыми рублями распространяется на операторов по переводу денежных средств, являющихся иными кредитными организациями, не указанными в частях 3 и 4 настоящей статьи, с 1 сентября 2028 года.">
        <w:r>
          <w:rPr>
            <w:sz w:val="24"/>
            <w:color w:val="0000ff"/>
          </w:rPr>
          <w:t xml:space="preserve">5</w:t>
        </w:r>
      </w:hyperlink>
      <w:r>
        <w:rPr>
          <w:sz w:val="24"/>
        </w:rPr>
        <w:t xml:space="preserve"> настоящей статьи.</w:t>
      </w:r>
    </w:p>
    <w:bookmarkStart w:id="86" w:name="P86"/>
    <w:bookmarkEnd w:id="86"/>
    <w:p>
      <w:pPr>
        <w:pStyle w:val="0"/>
        <w:spacing w:before="240" w:line-rule="auto"/>
        <w:ind w:firstLine="540"/>
        <w:jc w:val="both"/>
      </w:pPr>
      <w:r>
        <w:rPr>
          <w:sz w:val="24"/>
        </w:rPr>
        <w:t xml:space="preserve">3. Предусмотренная частью 18.1 статьи 30.7 Федерального закона от 27 июня 2011 года N 161-ФЗ "О национальной платежной системе" обязанность обеспечивать своим клиентам возможность совершения операций с цифровыми рублями распространяется на операторов по переводу денежных средств, являющихся системно значимыми кредитными организациями или кредитными организациями, признанными Банком России в установленном им порядке значимыми на рынке платежных услуг, с 1 сентября 2026 года.</w:t>
      </w:r>
    </w:p>
    <w:bookmarkStart w:id="87" w:name="P87"/>
    <w:bookmarkEnd w:id="87"/>
    <w:p>
      <w:pPr>
        <w:pStyle w:val="0"/>
        <w:spacing w:before="240" w:line-rule="auto"/>
        <w:ind w:firstLine="540"/>
        <w:jc w:val="both"/>
      </w:pPr>
      <w:r>
        <w:rPr>
          <w:sz w:val="24"/>
        </w:rPr>
        <w:t xml:space="preserve">4. Предусмотренная частью 18.1 статьи 30.7 Федерального закона от 27 июня 2011 года N 161-ФЗ "О национальной платежной системе" обязанность обеспечивать своим клиентам возможность совершения операций с цифровыми рублями распространяется на операторов по переводу денежных средств, являющихся банками с универсальной лицензией, с 1 сентября 2027 года.</w:t>
      </w:r>
    </w:p>
    <w:bookmarkStart w:id="88" w:name="P88"/>
    <w:bookmarkEnd w:id="88"/>
    <w:p>
      <w:pPr>
        <w:pStyle w:val="0"/>
        <w:spacing w:before="240" w:line-rule="auto"/>
        <w:ind w:firstLine="540"/>
        <w:jc w:val="both"/>
      </w:pPr>
      <w:r>
        <w:rPr>
          <w:sz w:val="24"/>
        </w:rPr>
        <w:t xml:space="preserve">5. Предусмотренная частью 18.1 статьи 30.7 Федерального закона от 27 июня 2011 года N 161-ФЗ "О национальной платежной системе" обязанность обеспечивать своим клиентам возможность совершения операций с цифровыми рублями распространяется на операторов по переводу денежных средств, являющихся иными кредитными организациями, не указанными в </w:t>
      </w:r>
      <w:hyperlink w:history="0" w:anchor="P86" w:tooltip="3. Предусмотренная частью 18.1 статьи 30.7 Федерального закона от 27 июня 2011 года N 161-ФЗ &quot;О национальной платежной системе&quot; обязанность обеспечивать своим клиентам возможность совершения операций с цифровыми рублями распространяется на операторов по переводу денежных средств, являющихся системно значимыми кредитными организациями или кредитными организациями, признанными Банком России в установленном им порядке значимыми на рынке платежных услуг, с 1 сентября 2026 года.">
        <w:r>
          <w:rPr>
            <w:sz w:val="24"/>
            <w:color w:val="0000ff"/>
          </w:rPr>
          <w:t xml:space="preserve">частях 3</w:t>
        </w:r>
      </w:hyperlink>
      <w:r>
        <w:rPr>
          <w:sz w:val="24"/>
        </w:rPr>
        <w:t xml:space="preserve"> и </w:t>
      </w:r>
      <w:hyperlink w:history="0" w:anchor="P87" w:tooltip="4. Предусмотренная частью 18.1 статьи 30.7 Федерального закона от 27 июня 2011 года N 161-ФЗ &quot;О национальной платежной системе&quot; обязанность обеспечивать своим клиентам возможность совершения операций с цифровыми рублями распространяется на операторов по переводу денежных средств, являющихся банками с универсальной лицензией, с 1 сентября 2027 года.">
        <w:r>
          <w:rPr>
            <w:sz w:val="24"/>
            <w:color w:val="0000ff"/>
          </w:rPr>
          <w:t xml:space="preserve">4</w:t>
        </w:r>
      </w:hyperlink>
      <w:r>
        <w:rPr>
          <w:sz w:val="24"/>
        </w:rPr>
        <w:t xml:space="preserve"> настоящей статьи, с 1 сентября 2028 года.</w:t>
      </w:r>
    </w:p>
    <w:p>
      <w:pPr>
        <w:pStyle w:val="0"/>
        <w:spacing w:before="240" w:line-rule="auto"/>
        <w:ind w:firstLine="540"/>
        <w:jc w:val="both"/>
      </w:pPr>
      <w:r>
        <w:rPr>
          <w:sz w:val="24"/>
        </w:rPr>
        <w:t xml:space="preserve">6. Положения абзаца пятого </w:t>
      </w:r>
      <w:hyperlink w:history="0" r:id="rId22" w:tooltip="Закон РФ от 07.02.1992 N 2300-1 (ред. от 08.08.2024) &quot;О защите прав потребителей&quot; {КонсультантПлюс}">
        <w:r>
          <w:rPr>
            <w:sz w:val="24"/>
            <w:color w:val="0000ff"/>
          </w:rPr>
          <w:t xml:space="preserve">пункта 1 статьи 16.1</w:t>
        </w:r>
      </w:hyperlink>
      <w:r>
        <w:rPr>
          <w:sz w:val="24"/>
        </w:rPr>
        <w:t xml:space="preserve"> Закона Российской Федерации от 7 февраля 1992 года N 2300-I "О защите прав потребителей" применяются с учетом особенностей, предусмотренных </w:t>
      </w:r>
      <w:hyperlink w:history="0" w:anchor="P90" w:tooltip="7. Предусмотренная абзацем пятым пункта 1 статьи 16.1 Закона Российской Федерации от 7 февраля 1992 года N 2300-I &quot;О защите прав потребителей&quot; обязанность обеспечить потребителю возможность оплаты товаров (работ, услуг) путем перевода цифровых рублей распространяется на продавца (исполнителя, владельца агрегатора) с 1 сентября 2026 года, если он соответствует одновременно следующим условиям:">
        <w:r>
          <w:rPr>
            <w:sz w:val="24"/>
            <w:color w:val="0000ff"/>
          </w:rPr>
          <w:t xml:space="preserve">частями 7</w:t>
        </w:r>
      </w:hyperlink>
      <w:r>
        <w:rPr>
          <w:sz w:val="24"/>
        </w:rPr>
        <w:t xml:space="preserve"> - </w:t>
      </w:r>
      <w:hyperlink w:history="0" w:anchor="P96" w:tooltip="9. Предусмотренная абзацем пятым пункта 1 статьи 16.1 Закона Российской Федерации от 7 февраля 1992 года N 2300-I &quot;О защите прав потребителей&quot; обязанность обеспечить потребителю возможность оплаты товаров (работ, услуг) путем перевода цифровых рублей распространяется на иных продавцов (исполнителей, владельцев агрегаторов), не указанных в частях 7 и 8 настоящей статьи, с 1 сентября 2028 года.">
        <w:r>
          <w:rPr>
            <w:sz w:val="24"/>
            <w:color w:val="0000ff"/>
          </w:rPr>
          <w:t xml:space="preserve">9</w:t>
        </w:r>
      </w:hyperlink>
      <w:r>
        <w:rPr>
          <w:sz w:val="24"/>
        </w:rPr>
        <w:t xml:space="preserve"> настоящей статьи.</w:t>
      </w:r>
    </w:p>
    <w:bookmarkStart w:id="90" w:name="P90"/>
    <w:bookmarkEnd w:id="90"/>
    <w:p>
      <w:pPr>
        <w:pStyle w:val="0"/>
        <w:spacing w:before="240" w:line-rule="auto"/>
        <w:ind w:firstLine="540"/>
        <w:jc w:val="both"/>
      </w:pPr>
      <w:r>
        <w:rPr>
          <w:sz w:val="24"/>
        </w:rPr>
        <w:t xml:space="preserve">7. Предусмотренная абзацем пятым пункта 1 статьи 16.1 Закона Российской Федерации от 7 февраля 1992 года N 2300-I "О защите прав потребителей" обязанность обеспечить потребителю возможность оплаты товаров (работ, услуг) путем перевода цифровых рублей распространяется на продавца (исполнителя, владельца агрегатора) с 1 сентября 2026 года, если он соответствует одновременно следующим условиям:</w:t>
      </w:r>
    </w:p>
    <w:p>
      <w:pPr>
        <w:pStyle w:val="0"/>
        <w:spacing w:before="240" w:line-rule="auto"/>
        <w:ind w:firstLine="540"/>
        <w:jc w:val="both"/>
      </w:pPr>
      <w:r>
        <w:rPr>
          <w:sz w:val="24"/>
        </w:rPr>
        <w:t xml:space="preserve">1) его выручка от реализации товаров (выполнения работ, оказания услуг) за предшествующий календарный год превышает сто двадцать миллионов рублей;</w:t>
      </w:r>
    </w:p>
    <w:p>
      <w:pPr>
        <w:pStyle w:val="0"/>
        <w:spacing w:before="240" w:line-rule="auto"/>
        <w:ind w:firstLine="540"/>
        <w:jc w:val="both"/>
      </w:pPr>
      <w:r>
        <w:rPr>
          <w:sz w:val="24"/>
        </w:rPr>
        <w:t xml:space="preserve">2) на 1 января 2026 года такой продавец (исполнитель, владелец агрегатора) является клиентом системно значимой кредитной организации или кредитной организации, признанной Банком России в установленном им порядке значимой на рынке платежных услуг, на основании договора о приеме электронных средств платежа.</w:t>
      </w:r>
    </w:p>
    <w:bookmarkStart w:id="93" w:name="P93"/>
    <w:bookmarkEnd w:id="93"/>
    <w:p>
      <w:pPr>
        <w:pStyle w:val="0"/>
        <w:spacing w:before="240" w:line-rule="auto"/>
        <w:ind w:firstLine="540"/>
        <w:jc w:val="both"/>
      </w:pPr>
      <w:r>
        <w:rPr>
          <w:sz w:val="24"/>
        </w:rPr>
        <w:t xml:space="preserve">8. Предусмотренная абзацем пятым пункта 1 статьи 16.1 Закона Российской Федерации от 7 февраля 1992 года N 2300-I "О защите прав потребителей" обязанность обеспечить потребителю возможность оплаты товаров (работ, услуг) путем перевода цифровых рублей распространяется на продавца (исполнителя, владельца агрегатора) с 1 сентября 2027 года, если он соответствует одновременно следующим условиям:</w:t>
      </w:r>
    </w:p>
    <w:p>
      <w:pPr>
        <w:pStyle w:val="0"/>
        <w:spacing w:before="240" w:line-rule="auto"/>
        <w:ind w:firstLine="540"/>
        <w:jc w:val="both"/>
      </w:pPr>
      <w:r>
        <w:rPr>
          <w:sz w:val="24"/>
        </w:rPr>
        <w:t xml:space="preserve">1) его выручка от реализации товаров (выполнения работ, оказания услуг) за предшествующий календарный год превышает тридцать миллионов рублей;</w:t>
      </w:r>
    </w:p>
    <w:p>
      <w:pPr>
        <w:pStyle w:val="0"/>
        <w:spacing w:before="240" w:line-rule="auto"/>
        <w:ind w:firstLine="540"/>
        <w:jc w:val="both"/>
      </w:pPr>
      <w:r>
        <w:rPr>
          <w:sz w:val="24"/>
        </w:rPr>
        <w:t xml:space="preserve">2) на 1 января 2026 года такой продавец (исполнитель, владелец агрегатора) является клиентом системно значимой кредитной организации, кредитной организации, признанной Банком России в установленном им порядке значимой на рынке платежных услуг, или банка с универсальной лицензией на основании договора о приеме электронных средств платежа.</w:t>
      </w:r>
    </w:p>
    <w:bookmarkStart w:id="96" w:name="P96"/>
    <w:bookmarkEnd w:id="96"/>
    <w:p>
      <w:pPr>
        <w:pStyle w:val="0"/>
        <w:spacing w:before="240" w:line-rule="auto"/>
        <w:ind w:firstLine="540"/>
        <w:jc w:val="both"/>
      </w:pPr>
      <w:r>
        <w:rPr>
          <w:sz w:val="24"/>
        </w:rPr>
        <w:t xml:space="preserve">9. Предусмотренная абзацем пятым пункта 1 статьи 16.1 Закона Российской Федерации от 7 февраля 1992 года N 2300-I "О защите прав потребителей" обязанность обеспечить потребителю возможность оплаты товаров (работ, услуг) путем перевода цифровых рублей распространяется на иных продавцов (исполнителей, владельцев агрегаторов), не указанных в </w:t>
      </w:r>
      <w:hyperlink w:history="0" w:anchor="P90" w:tooltip="7. Предусмотренная абзацем пятым пункта 1 статьи 16.1 Закона Российской Федерации от 7 февраля 1992 года N 2300-I &quot;О защите прав потребителей&quot; обязанность обеспечить потребителю возможность оплаты товаров (работ, услуг) путем перевода цифровых рублей распространяется на продавца (исполнителя, владельца агрегатора) с 1 сентября 2026 года, если он соответствует одновременно следующим условиям:">
        <w:r>
          <w:rPr>
            <w:sz w:val="24"/>
            <w:color w:val="0000ff"/>
          </w:rPr>
          <w:t xml:space="preserve">частях 7</w:t>
        </w:r>
      </w:hyperlink>
      <w:r>
        <w:rPr>
          <w:sz w:val="24"/>
        </w:rPr>
        <w:t xml:space="preserve"> и </w:t>
      </w:r>
      <w:hyperlink w:history="0" w:anchor="P93" w:tooltip="8. Предусмотренная абзацем пятым пункта 1 статьи 16.1 Закона Российской Федерации от 7 февраля 1992 года N 2300-I &quot;О защите прав потребителей&quot; обязанность обеспечить потребителю возможность оплаты товаров (работ, услуг) путем перевода цифровых рублей распространяется на продавца (исполнителя, владельца агрегатора) с 1 сентября 2027 года, если он соответствует одновременно следующим условиям:">
        <w:r>
          <w:rPr>
            <w:sz w:val="24"/>
            <w:color w:val="0000ff"/>
          </w:rPr>
          <w:t xml:space="preserve">8</w:t>
        </w:r>
      </w:hyperlink>
      <w:r>
        <w:rPr>
          <w:sz w:val="24"/>
        </w:rPr>
        <w:t xml:space="preserve"> настоящей статьи, с 1 сентября 2028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23 июля 2025 года</w:t>
      </w:r>
    </w:p>
    <w:p>
      <w:pPr>
        <w:pStyle w:val="0"/>
        <w:spacing w:before="240" w:line-rule="auto"/>
      </w:pPr>
      <w:r>
        <w:rPr>
          <w:sz w:val="24"/>
        </w:rPr>
        <w:t xml:space="preserve">N 248-ФЗ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23.07.2025 N 248-ФЗ</w:t>
            <w:br/>
            <w:t>"О внесении изменений в отдельные законодательные акты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502257&amp;date=02.08.2025&amp;dst=157&amp;field=134&amp;demo=2" TargetMode = "External"/>
	<Relationship Id="rId8" Type="http://schemas.openxmlformats.org/officeDocument/2006/relationships/hyperlink" Target="https://login.consultant.ru/link/?req=doc&amp;base=LAW&amp;n=502327&amp;date=02.08.2025&amp;dst=100142&amp;field=134&amp;demo=2" TargetMode = "External"/>
	<Relationship Id="rId9" Type="http://schemas.openxmlformats.org/officeDocument/2006/relationships/hyperlink" Target="https://login.consultant.ru/link/?req=doc&amp;base=LAW&amp;n=502327&amp;date=02.08.2025&amp;dst=100142&amp;field=134&amp;demo=2" TargetMode = "External"/>
	<Relationship Id="rId10" Type="http://schemas.openxmlformats.org/officeDocument/2006/relationships/hyperlink" Target="https://login.consultant.ru/link/?req=doc&amp;base=LAW&amp;n=502327&amp;date=02.08.2025&amp;dst=1025&amp;field=134&amp;demo=2" TargetMode = "External"/>
	<Relationship Id="rId11" Type="http://schemas.openxmlformats.org/officeDocument/2006/relationships/hyperlink" Target="https://login.consultant.ru/link/?req=doc&amp;base=LAW&amp;n=502327&amp;date=02.08.2025&amp;dst=100142&amp;field=134&amp;demo=2" TargetMode = "External"/>
	<Relationship Id="rId12" Type="http://schemas.openxmlformats.org/officeDocument/2006/relationships/hyperlink" Target="https://login.consultant.ru/link/?req=doc&amp;base=LAW&amp;n=502327&amp;date=02.08.2025&amp;dst=1195&amp;field=134&amp;demo=2" TargetMode = "External"/>
	<Relationship Id="rId13" Type="http://schemas.openxmlformats.org/officeDocument/2006/relationships/hyperlink" Target="https://login.consultant.ru/link/?req=doc&amp;base=LAW&amp;n=502319&amp;date=02.08.2025&amp;demo=2" TargetMode = "External"/>
	<Relationship Id="rId14" Type="http://schemas.openxmlformats.org/officeDocument/2006/relationships/hyperlink" Target="https://login.consultant.ru/link/?req=doc&amp;base=LAW&amp;n=502319&amp;date=02.08.2025&amp;dst=100015&amp;field=134&amp;demo=2" TargetMode = "External"/>
	<Relationship Id="rId15" Type="http://schemas.openxmlformats.org/officeDocument/2006/relationships/hyperlink" Target="https://login.consultant.ru/link/?req=doc&amp;base=LAW&amp;n=502319&amp;date=02.08.2025&amp;dst=523&amp;field=134&amp;demo=2" TargetMode = "External"/>
	<Relationship Id="rId16" Type="http://schemas.openxmlformats.org/officeDocument/2006/relationships/hyperlink" Target="https://login.consultant.ru/link/?req=doc&amp;base=LAW&amp;n=502319&amp;date=02.08.2025&amp;dst=100015&amp;field=134&amp;demo=2" TargetMode = "External"/>
	<Relationship Id="rId17" Type="http://schemas.openxmlformats.org/officeDocument/2006/relationships/hyperlink" Target="https://login.consultant.ru/link/?req=doc&amp;base=LAW&amp;n=502319&amp;date=02.08.2025&amp;dst=534&amp;field=134&amp;demo=2" TargetMode = "External"/>
	<Relationship Id="rId18" Type="http://schemas.openxmlformats.org/officeDocument/2006/relationships/hyperlink" Target="https://login.consultant.ru/link/?req=doc&amp;base=LAW&amp;n=502319&amp;date=02.08.2025&amp;dst=100114&amp;field=134&amp;demo=2" TargetMode = "External"/>
	<Relationship Id="rId19" Type="http://schemas.openxmlformats.org/officeDocument/2006/relationships/hyperlink" Target="https://login.consultant.ru/link/?req=doc&amp;base=LAW&amp;n=502319&amp;date=02.08.2025&amp;dst=100498&amp;field=134&amp;demo=2" TargetMode = "External"/>
	<Relationship Id="rId20" Type="http://schemas.openxmlformats.org/officeDocument/2006/relationships/hyperlink" Target="https://login.consultant.ru/link/?req=doc&amp;base=LAW&amp;n=502319&amp;date=02.08.2025&amp;dst=34&amp;field=134&amp;demo=2" TargetMode = "External"/>
	<Relationship Id="rId21" Type="http://schemas.openxmlformats.org/officeDocument/2006/relationships/hyperlink" Target="https://login.consultant.ru/link/?req=doc&amp;base=LAW&amp;n=502319&amp;date=02.08.2025&amp;dst=562&amp;field=134&amp;demo=2" TargetMode = "External"/>
	<Relationship Id="rId22" Type="http://schemas.openxmlformats.org/officeDocument/2006/relationships/hyperlink" Target="https://login.consultant.ru/link/?req=doc&amp;base=LAW&amp;n=482748&amp;date=02.08.2025&amp;dst=157&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23.07.2025 N 248-ФЗ
"О внесении изменений в отдельные законодательные акты Российской Федерации"</dc:title>
  <dcterms:created xsi:type="dcterms:W3CDTF">2025-08-02T12:13:12Z</dcterms:created>
</cp:coreProperties>
</file>