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14.08.2025 N Пр-1826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XXVIII ПЕТЕРБУРГСКОГО МЕЖДУНАРОДНОГО</w:t>
      </w:r>
    </w:p>
    <w:p>
      <w:pPr>
        <w:pStyle w:val="2"/>
        <w:jc w:val="center"/>
      </w:pPr>
      <w:r>
        <w:rPr>
          <w:sz w:val="24"/>
        </w:rPr>
        <w:t xml:space="preserve">ЭКОНОМИЧЕСКОГО ФОРУМА 18 - 21 ИЮНЯ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" w:name="P9"/>
    <w:bookmarkEnd w:id="9"/>
    <w:p>
      <w:pPr>
        <w:pStyle w:val="0"/>
        <w:ind w:firstLine="540"/>
        <w:jc w:val="both"/>
      </w:pPr>
      <w:r>
        <w:rPr>
          <w:sz w:val="24"/>
        </w:rPr>
        <w:t xml:space="preserve">1. Правительству Российской Федерации разработать и утвердить план структурных изменений в российской экономике, предусматривающий следующие основные направления:</w:t>
      </w:r>
    </w:p>
    <w:bookmarkStart w:id="10" w:name="P10"/>
    <w:bookmarkEnd w:id="1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изменение структуры занятости;</w:t>
      </w:r>
    </w:p>
    <w:bookmarkStart w:id="11" w:name="P11"/>
    <w:bookmarkEnd w:id="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изменение структуры потребления;</w:t>
      </w:r>
    </w:p>
    <w:bookmarkStart w:id="12" w:name="P12"/>
    <w:bookmarkEnd w:id="1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повышение качества инвестиционного климата;</w:t>
      </w:r>
    </w:p>
    <w:bookmarkStart w:id="13" w:name="P13"/>
    <w:bookmarkEnd w:id="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повышение уровня технологического развития российской экономики;</w:t>
      </w:r>
    </w:p>
    <w:bookmarkStart w:id="14" w:name="P14"/>
    <w:bookmarkEnd w:id="1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трансформация структуры и формирование нового качества внешней торговли;</w:t>
      </w:r>
    </w:p>
    <w:bookmarkStart w:id="15" w:name="P15"/>
    <w:bookmarkEnd w:id="1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повышение эффективности деятельности в сфере обороны и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реализации </w:t>
      </w:r>
      <w:hyperlink w:history="0" w:anchor="P9" w:tooltip="1. Правительству Российской Федерации разработать и утвердить план структурных изменений в российской экономике, предусматривающий следующие основные направления: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настоящего перечня поручений сформировать перечень показателей и определить их целевые значения для каждого направления плана структурных изменений в российской экономике;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 реализации </w:t>
      </w:r>
      <w:hyperlink w:history="0" w:anchor="P10" w:tooltip="а) изменение структуры занятости;">
        <w:r>
          <w:rPr>
            <w:sz w:val="24"/>
            <w:color w:val="0000ff"/>
          </w:rPr>
          <w:t xml:space="preserve">подпункта "а"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роста экономической активности граждан, включая повышение уровня участия молодежи и граждан предпенсионного возраста в составе рабочей силы;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повышения уровня заработной платы, которое основано на росте производительности труда и улучшении качества рабочих мест;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роста занятости в высокотехнологичных отраслях экономики; оптимизации неэффективной занятости в обеспечивающих отраслях экономики (включая оптовую и розничную торговлю, государственное управление, финансовую и страховую деятельность), в том числе за счет внедрения цифровых платформенных решений;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повышения трудовой мобильности, основанного на профессиональном росте и переобучении;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 реализации </w:t>
      </w:r>
      <w:hyperlink w:history="0" w:anchor="P11" w:tooltip="б) изменение структуры потребления;">
        <w:r>
          <w:rPr>
            <w:sz w:val="24"/>
            <w:color w:val="0000ff"/>
          </w:rPr>
          <w:t xml:space="preserve">подпункта "б"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снижения уровня бедности;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роста доходов и снижения неравенства населения по доходам;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стимулирования потребления отечественных товаров и услуг, в том числе в сфере туризма и общественного питания;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реализации </w:t>
      </w:r>
      <w:hyperlink w:history="0" w:anchor="P12" w:tooltip="в) повышение качества инвестиционного климата;">
        <w:r>
          <w:rPr>
            <w:sz w:val="24"/>
            <w:color w:val="0000ff"/>
          </w:rPr>
          <w:t xml:space="preserve">подпункта "в"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снижения издержек, возникающих при осуществлении предпринимательской деятельности, включая текущую операционную деятельность и нотариальное сопровождение;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обеспечения роста инвестиционной активности на всех административно-территориальных уровнях;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завершения перехода к новому механизму реализации программ льготного кредитования, предусматривающему в том числе поддержку инвестиционных проектов за счет капитальных грантов;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при реализации </w:t>
      </w:r>
      <w:hyperlink w:history="0" w:anchor="P13" w:tooltip="г) повышение уровня технологического развития российской экономики;">
        <w:r>
          <w:rPr>
            <w:sz w:val="24"/>
            <w:color w:val="0000ff"/>
          </w:rPr>
          <w:t xml:space="preserve">подпункта "г"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ускорения внедрения новых технологических решений в отраслях экономики (отдавая приоритет отечественным технологиям), включая создание необходимой нормативной правовой базы, а также определения целевых показателей такого внедрения с разбивкой по отраслям;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создания комплексной системы поддержки технологического развития, обеспечивающей сопровождение соответствующих проектов от создания до внедрения технологических решений;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создания условий, обеспечивающих технологическое лидерство Российской Федерации по приоритетным направлениям развития экономики;</w:t>
      </w:r>
    </w:p>
    <w:bookmarkStart w:id="37" w:name="P37"/>
    <w:bookmarkEnd w:id="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при реализации </w:t>
      </w:r>
      <w:hyperlink w:history="0" w:anchor="P14" w:tooltip="д) трансформация структуры и формирование нового качества внешней торговли;">
        <w:r>
          <w:rPr>
            <w:sz w:val="24"/>
            <w:color w:val="0000ff"/>
          </w:rPr>
          <w:t xml:space="preserve">подпункта "д"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изменения структуры импорта товаров и услуг в целях увеличения доли импорта трудоинтенсивных товаров и услуг, а также технологических решений, не имеющих отечественных аналогов, с тем чтобы обеспечить повышение качества занятости и создание высокооплачиваемых рабочих мест;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разработки механизмов финансирования экспортных проектов, имеющих национальное значение и необходимых для завоевания и удержания зарубежных рынков;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модернизации таможенной и тарифной политики Евразийского экономического союза в целях формирования новых производственных цепочек и стимулирования внедрения передовых технологических решений;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при реализации с участием Минобороны России </w:t>
      </w:r>
      <w:hyperlink w:history="0" w:anchor="P15" w:tooltip="е) повышение эффективности деятельности в сфере обороны и безопасности.">
        <w:r>
          <w:rPr>
            <w:sz w:val="24"/>
            <w:color w:val="0000ff"/>
          </w:rPr>
          <w:t xml:space="preserve">подпункта "е" пункта 1</w:t>
        </w:r>
      </w:hyperlink>
      <w:r>
        <w:rPr>
          <w:sz w:val="24"/>
        </w:rPr>
        <w:t xml:space="preserve"> настоящего перечня поручений обратить особое внимание на необходимость: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кардинального сокращения сроков выявления перспективных технологических решений и их внедрения в сфере обороны и безопасности, включая ускоренную организацию серийного производства эффективной продукции, с учетом мнения специалистов, непосредственно использующих или производящих соответствующие изделия;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распространения лучших практик в сфере производства промышленной продукции с учетом опыта ее реальной эксплуатации при доработке такой продукции;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повышения экономической эффективности внедрения перспективных технологических решений.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учетом положений </w:t>
      </w:r>
      <w:hyperlink w:history="0" w:anchor="P37" w:tooltip="е) при реализации подпункта &quot;д&quot; пункта 1 настоящего перечня поручений обратить особое внимание на необходимость:">
        <w:r>
          <w:rPr>
            <w:sz w:val="24"/>
            <w:color w:val="0000ff"/>
          </w:rPr>
          <w:t xml:space="preserve">подпункта "е" пункта 2</w:t>
        </w:r>
      </w:hyperlink>
      <w:r>
        <w:rPr>
          <w:sz w:val="24"/>
        </w:rPr>
        <w:t xml:space="preserve"> настоящего перечня поручений разработать при участии ведущих деловых объединений и Делового совета Евразийского экономического союза предложения по инициированию в Евразийской экономической комиссии работы по модернизации таможенной и тарифной политики, нацеленной на формирование новых производственных цепочек и стимулирование внедрения передовых технологических решений в государствах Евразийского экономического союза;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разработать при участии делового сообщества и представить предложения по формированию новой национальной модели торговой деятельности, предусматривающей актуализацию регулирования розничной сетевой торговли в условиях развития платформенной экономики, в том числе в части, касающейся возможности применения платформенных технологий.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предусмотреть в программе льготного кредитования, направленной на реализацию инвестиционных проектов по созданию туристической инфраструктуры, предоставление кредитов по дополнительно сниженной процентной ставке в случае реализации этих проектов на территориях объектов культурного наследия (памятников истории и культуры) народов Российской Федерации, требующих приведения в удовлетворительное состояние, обеспечив компенсацию такого снижения за счет бюджетных ассигнований, предназначенных для финансирования программы льготного кредитования инвестиционных проектов по сохранению и вовлечению в хозяйственный оборот объектов культурного наследия (памятников истории и культуры) народов Российской Федерации, находящихся в неудовлетворительном состоянии.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сентября 2025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участии ведущих деловых объединений с учетом ранее данных поручений обеспечить внесение в законодательство Российской Федерации изменений, предусматривающих установление сроков исковой давности и порядка их исчисления при оспаривании сделок приватизации в целях защиты права собственности добросовестных приобретателей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декабря 2025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разработать при участии исполнительных органов субъектов Российской Федерации и экспертного сообщества и утвердить долгосрочную стратегию развития креативной экономики, определив механизм ее реализации и рассмотрев в том числе вопрос о подготовке соответствующего федерального проекта в рамках национального проекта "Эффективная и конкурентная экономика", а также обеспечить реализацию указанной стратегии.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15 декабря 2025 г., далее - один раз в полгода;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 учетом ранее данных поручений рассмотреть вопрос о создании национальной цифровой транспортно-логистической платформы.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31 декабря 2025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обеспечить подготовку ежегодного доклада о динамике технологического развития страны, о ходе реализации национальных проектов по обеспечению технологического лидерства, об оценке текущего уровня технологического суверенитета, о разрабатываемых прорывных решениях технологического лидерства, а также о внедрении отечественных перспективных технологических решений в различных отраслях экономики.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31 марта 2026 г., далее - один раз в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Администрацией Президента Российской Федерации, государственной корпорацией развития "ВЭБ.РФ" и при участии Национального центра "Россия":</w:t>
      </w:r>
    </w:p>
    <w:bookmarkStart w:id="63" w:name="P63"/>
    <w:bookmarkEnd w:id="6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подготовить и представить предложения по развитию формата международного взаимодействия, инициированного в 2025 году в рамках открытого диалога "Будущее мира: новая платформа глобального роста";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учетом реализации </w:t>
      </w:r>
      <w:hyperlink w:history="0" w:anchor="P63" w:tooltip="а) подготовить и представить предложения по развитию формата международного взаимодействия, инициированного в 2025 году в рамках открытого диалога &quot;Будущее мира: новая платформа глобального роста&quot;;">
        <w:r>
          <w:rPr>
            <w:sz w:val="24"/>
            <w:color w:val="0000ff"/>
          </w:rPr>
          <w:t xml:space="preserve">подпункта "а"</w:t>
        </w:r>
      </w:hyperlink>
      <w:r>
        <w:rPr>
          <w:sz w:val="24"/>
        </w:rPr>
        <w:t xml:space="preserve"> настоящего пункта обеспечить проведение в 2026 году форума "Открытый диалог".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ноября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Орешкин М.С., Шувалов И.И.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Правительству Российской Федерации совместно с Банком России и при участии исполнительных органов субъектов Российской Федерации с учетом ранее данного поручения обеспечить расширение практики применения механизма банковского кредитования под залог прав на результаты интеллектуальной деятельности и приравненные к ним средства индивидуализации.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декабря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Правительству Российской Федерации совместно с высшими исполнительными органами субъектов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организовать на системной основе учет результатов национальных рейтингов образовательных организаций высшего образования и профессиональных образовательных организаций по трудоустройству выпускников при оценке эффективности деятельности образовательных организаций;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учетом ранее данных поручений (касающихся создания инструментов инвестирования в карьеру и совершенствования положений, регулирующих ученический договор) подготовить и представить предложения по модернизации программ повышения мобильности трудовых ресурсов и увеличению эффективности профессиональной переподготовки и повышения квалификации.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октября 2025 г., далее - один раз в полгода.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Правительству Российской Федерации совместно с акционерным обществом "Федеральная корпорация по развитию малого и среднего предпринимательства":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участии акционерного общества "ДОМ.РФ" распространить действие механизма предоставления поручительств по кредитам, выдаваемым кредитными организациями субъектам малого и среднего предпринимательства, на инвестиционные проекты по сохранению и вовлечению в хозяйственный оборот объектов культурного наследия (памятников истории и культуры) народов Российской Федерации, находящихся в неудовлетворительном состоянии;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 участии представителей отраслевого сообщества подготовить и представить предложения по развитию реализуемых на цифровых платформах механизмов поддержки субъектов малого и среднего предпринимательства за счет механизмов государственной поддержки, включая финансовую и гарантийную.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сентября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Исаевич А.И.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Правительству Российской Федерации совместно с автономной некоммерческой организацией "Агентство стратегических инициатив по продвижению новых проектов" и государственной корпорацией "Российская корпорация нанотехнологий" с учетом ранее данных поручений рассмотреть вопрос о создании механизмов поддержки проектов, предусматривающих извлечение ценных компонентов, включая редкие и редкоземельные металлы, из отходов недропользования и отходов производства.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сентября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Чупшева С.В., Куликов С.А.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Правительству Российской Федерации совместно с автономной некоммерческой организацией "Агентство стратегических инициатив по продвижению новых проектов":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участии исполнительных органов субъектов Российской Федерации и делового сообщества обеспечить утверждение национальной модели целевых условий ведения бизнеса и ее реализацию, исходя из необходимости достижения Российской Федерацией к 2030 году позиции не ниже 20-го места в рейтинге стран-лидеров согласно методике ведущего мирового исследования по условиям ведения бизнеса.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15 сентября 2025 г., далее - один раз в полгода;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подготовить и представить предложения по масштабированию программы "Университет предпринимателей" и развитию формата совместных организаций, создаваемых образовательными организациями высшего образования, научными организациями и субъектами предпринимательской деятельности в целях разработки и коммерциализации результатов инновационной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Чупшева С.В.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Администрации Президента Российской Федерации создать межведомственную рабочую группу по повышению эффективности мероприятий, направленных на сохранение объектов культурного наследия (памятников истории и культуры) народов Российской Федерации, находящихся в неудовлетворительном состоянии.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Орешкин М.С.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Рекомендовать Государственной Думе Федерального Собрания Российской Федерации совместно с Правительством Российской Федерации с учетом ранее данных поручений обеспечить внесение в трудовое законодательство Российской Федерации изменений, направленных на совершенствование правового регулирования отношений, связанных с вопросами повышения гибкости рынка труда и применения институтов сверхурочной работы и работы по совместительству.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Володин В.В.,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Банку России совместно с Правительством Российской Федерации с учетом ранее данных поручений обеспечить переход к широкому использованию цифрового рубля, включая его использование физическими и юридическими лицами, а также в бюджетном процессе, определив сроки реализации соответствующих этапов.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15 октября 2025 г., далее - один раз в полгода.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Набиуллина Э.С.,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Межведомственной рабочей группе по развитию экосистем цифровой экономики и цифровых платформ при участии представителей отраслевого сообщества обеспечить рассмотрение на заседаниях рабочей группы проблемных вопросов функционирования цифровых платформ, в том числе в части, касающейся недобросовестных практик ведения бизнеса, нарушения требований антимонопольного законодательства Российской Федерации и порядка оборота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декабря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Орешкин М.С.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Специальной рабочей группе по координации деятельности институтов развития Совета при Президенте Российской Федерации по стратегическому развитию и национальным проектам проанализировать деятельность институтов развития в сфере технологического развития, в том числе общественно полезных фондов, и представить предложения по координации деятельности институтов развития, предусматривающие исключение дублирующих функций и установление единых требований к процедурам поддержки бизнеса.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Шувалов И.И.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Фонду "Росконгресс" обеспечить проведение анализа и обобщение итоговых материалов XXVIII Петербургского международного экономического форума.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ноября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Стуглев А.А.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XXVIII Петербургского международного экономического форума 18 - 21 июня 2025 года"</w:t>
            <w:br/>
            <w:t>(утв.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XXVIII Петербургского международного экономического форума 18 - 21 июня 2025 года" (утв.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XXVIII Петербургского международного экономического форума 18 - 21 июня 2025 года"
(утв. Президентом РФ 14.08.2025 N Пр-1826)</dc:title>
  <dcterms:created xsi:type="dcterms:W3CDTF">2025-08-20T15:32:46Z</dcterms:created>
</cp:coreProperties>
</file>