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 августа 2025 г. N 14-7750-ТГ/25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служба государственной регистрации, кадастра и картографии с учетом ранее направленных </w:t>
      </w:r>
      <w:hyperlink w:history="0" r:id="rId6" w:tooltip="&lt;Письмо&gt; Росреестра от 16.11.2021 N 14-8490-ГЕ/21 &lt;О причинах возврата прилагаемых к заявлению о государственном кадастровом учете и (или) государственной регистрации прав документов без рассмотрения при уплате государственной пошлины в меньшем размере&gt; {КонсультантПлюс}">
        <w:r>
          <w:rPr>
            <w:sz w:val="24"/>
            <w:color w:val="0000ff"/>
          </w:rPr>
          <w:t xml:space="preserve">письма</w:t>
        </w:r>
      </w:hyperlink>
      <w:r>
        <w:rPr>
          <w:sz w:val="24"/>
        </w:rPr>
        <w:t xml:space="preserve"> Росреестра от 16.11.2021 N 14-8490-ГЕ/21, информации, содержащейся в пункте 20 приложения "Остальные вопросы" к письму Росреестра от 26.12.2024 N 06-12744-МС/24, по вопросам применения </w:t>
      </w:r>
      <w:hyperlink w:history="0" r:id="rId7" w:tooltip="Федеральный закон от 13.07.2015 N 218-ФЗ (ред. от 31.07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пункта 3 статьи 25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 рекомендует руководствоваться в том числе следующим.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государственная пошлина уплачена в размере, не соответствующем Налоговому </w:t>
      </w:r>
      <w:hyperlink w:history="0" r:id="rId8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кодексу</w:t>
        </w:r>
      </w:hyperlink>
      <w:r>
        <w:rPr>
          <w:sz w:val="24"/>
        </w:rPr>
        <w:t xml:space="preserve"> Российской Федерации (далее - НК) (то есть когда такой размер не предусмотрен для осуществления заявленного учетно-регистрационного действия), это является основанием для возврата документов без рассмотрения.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таким случаям в том числе следует относить, например, случаи уплаты государственной пошлины в размере: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предусмотренном только за государственную регистрацию права или только за государственный кадастровый учет при предоставлении заявления и приложенных к нему документов для осуществления одновременного государственного кадастрового учета и государственной регистрации прав;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22 000 рублей за государственную регистрацию вещного права (например, права собственности, хозяйственного ведения), ограничения (обременения) права (поскольку с 01.01.2025 такой размер государственной пошлины не предусмотрен ни "новыми" нормами </w:t>
      </w:r>
      <w:hyperlink w:history="0" r:id="rId9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НК</w:t>
        </w:r>
      </w:hyperlink>
      <w:r>
        <w:rPr>
          <w:sz w:val="24"/>
        </w:rPr>
        <w:t xml:space="preserve">, регулирующими уплату государственной пошлины за осуществление государственного кадастрового учета и (или) государственной регистрации прав, введенными в действие с указанной даты, ни одним из </w:t>
      </w:r>
      <w:hyperlink w:history="0" r:id="rId10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подпунктов 21</w:t>
        </w:r>
      </w:hyperlink>
      <w:r>
        <w:rPr>
          <w:sz w:val="24"/>
        </w:rPr>
        <w:t xml:space="preserve"> - </w:t>
      </w:r>
      <w:hyperlink w:history="0" r:id="rId11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31 пункта 1 статьи 333.33</w:t>
        </w:r>
      </w:hyperlink>
      <w:r>
        <w:rPr>
          <w:sz w:val="24"/>
        </w:rPr>
        <w:t xml:space="preserve"> НК в редакции, действующей с 01.01.2025);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предусмотренном для физического лица при предоставлении заявления юридическим лицом;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размере, предусмотренном для осуществления иного вида учетно-регистрационного действия (например, при уплате государственной пошлины за государственную регистрацию права собственности (размер которой предусмотрен </w:t>
      </w:r>
      <w:hyperlink w:history="0" r:id="rId12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подпунктом 22 пункта 1 статьи 333.33</w:t>
        </w:r>
      </w:hyperlink>
      <w:r>
        <w:rPr>
          <w:sz w:val="24"/>
        </w:rPr>
        <w:t xml:space="preserve"> НК) в размере, установленном </w:t>
      </w:r>
      <w:hyperlink w:history="0" r:id="rId13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подпунктом 28 пункта 1 статьи 333.33</w:t>
        </w:r>
      </w:hyperlink>
      <w:r>
        <w:rPr>
          <w:sz w:val="24"/>
        </w:rPr>
        <w:t xml:space="preserve"> НК (за государственную регистрацию ипотеки);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размере, предусмотренном для осуществления учетно-регистрационного действия в отношении иного объекта недвижимости (например, в случае, когда за государственный кадастровый учет и государственную регистрацию права на помещение в здании уплачена государственная пошлина в размере, установленном </w:t>
      </w:r>
      <w:hyperlink w:history="0" r:id="rId14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подпунктом 24.1</w:t>
        </w:r>
      </w:hyperlink>
      <w:r>
        <w:rPr>
          <w:sz w:val="24"/>
        </w:rPr>
        <w:t xml:space="preserve"> или </w:t>
      </w:r>
      <w:hyperlink w:history="0" r:id="rId15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подпунктом 25.1 пункта 1 статьи 333.33</w:t>
        </w:r>
      </w:hyperlink>
      <w:r>
        <w:rPr>
          <w:sz w:val="24"/>
        </w:rPr>
        <w:t xml:space="preserve"> НК).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имеются основания для возврата документов без рассмотрения в случаях, когда государственная пошлина неверно рассчитана в соответствии с </w:t>
      </w:r>
      <w:hyperlink w:history="0" r:id="rId16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подпунктами 22</w:t>
        </w:r>
      </w:hyperlink>
      <w:r>
        <w:rPr>
          <w:sz w:val="24"/>
        </w:rPr>
        <w:t xml:space="preserve">, </w:t>
      </w:r>
      <w:hyperlink w:history="0" r:id="rId17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22.1 пункта 1 статьи 333.33</w:t>
        </w:r>
      </w:hyperlink>
      <w:r>
        <w:rPr>
          <w:sz w:val="24"/>
        </w:rPr>
        <w:t xml:space="preserve"> НК, исходя из кадастровой стоимости объекта недвижимости (допущены ошибки в расчетах или использована неактуальная кадастровая стоимость объекта недвижимости).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отсутствуют основания для возврата документов без рассмотрения, если заявителем за осуществление учетно-регистрационных действий в отношении объекта недвижимости уплачена государственная пошлина в большем размере, чем это предусмотрено </w:t>
      </w:r>
      <w:hyperlink w:history="0" r:id="rId18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НК</w:t>
        </w:r>
      </w:hyperlink>
      <w:r>
        <w:rPr>
          <w:sz w:val="24"/>
        </w:rPr>
        <w:t xml:space="preserve">. В таком случае излишне уплаченная государственная пошлина подлежит возврату заявителю в соответствии со </w:t>
      </w:r>
      <w:hyperlink w:history="0" r:id="rId19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статьей 333.40</w:t>
        </w:r>
      </w:hyperlink>
      <w:r>
        <w:rPr>
          <w:sz w:val="24"/>
        </w:rPr>
        <w:t xml:space="preserve"> НК.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обращаем внимание на недопустимость возврата без рассмотрения заявлений и приложенных к ним документов в случаях, когда государственная пошлина уплачена в размере, установленном </w:t>
      </w:r>
      <w:hyperlink w:history="0" r:id="rId20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подпунктами 24</w:t>
        </w:r>
      </w:hyperlink>
      <w:r>
        <w:rPr>
          <w:sz w:val="24"/>
        </w:rPr>
        <w:t xml:space="preserve">, </w:t>
      </w:r>
      <w:hyperlink w:history="0" r:id="rId21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24.1 пункта 1 статьи 333.33</w:t>
        </w:r>
      </w:hyperlink>
      <w:r>
        <w:rPr>
          <w:sz w:val="24"/>
        </w:rPr>
        <w:t xml:space="preserve"> НК, при этом вид разрешенного использования земельного участка, в отношении которого заявлены учетные и (или) регистрационные действия, несколько отличается от указанного в названных подпунктах, </w:t>
      </w:r>
      <w:hyperlink w:history="0" r:id="rId22" w:tooltip="Приказ Росреестра от 10.11.2020 N П/0412 (ред. от 24.12.2024) &quot;Об утверждении классификатора видов разрешенного использования земельных участков&quot; (Зарегистрировано в Минюсте России 15.12.2020 N 61482) {КонсультантПлюс}">
        <w:r>
          <w:rPr>
            <w:sz w:val="24"/>
            <w:color w:val="0000ff"/>
          </w:rPr>
          <w:t xml:space="preserve">Классификаторе</w:t>
        </w:r>
      </w:hyperlink>
      <w:r>
        <w:rPr>
          <w:sz w:val="24"/>
        </w:rPr>
        <w:t xml:space="preserve"> видов разрешенного использования земельных участков, утвержденного приказом Росреестра от 10.11.2020 N П/0412 (например, в Едином государственном реестре недвижимости указан вид разрешенного использования земельного участка - "под гараж", а в </w:t>
      </w:r>
      <w:hyperlink w:history="0" r:id="rId23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подпунктах 24</w:t>
        </w:r>
      </w:hyperlink>
      <w:r>
        <w:rPr>
          <w:sz w:val="24"/>
        </w:rPr>
        <w:t xml:space="preserve">, </w:t>
      </w:r>
      <w:hyperlink w:history="0" r:id="rId24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24.1 пункта 1 статьи 333.33</w:t>
        </w:r>
      </w:hyperlink>
      <w:r>
        <w:rPr>
          <w:sz w:val="24"/>
        </w:rPr>
        <w:t xml:space="preserve"> НК - "для индивидуального гаражного строительства"). (См. также направленное в территориальные органы Росреестра письмом от 20.02.2012 N 14-ИСХ/01124-ГЕ/12 письмо Минфина России от 03.02.2012 N 03-05-04-03/05, в котором в том числе содержится информация о том, что в случае, если наименование вида разрешенного использования земельного участка не соответствует виду разрешенного использования, указанному в </w:t>
      </w:r>
      <w:hyperlink w:history="0" r:id="rId25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подпункте 24 пункта 1 статьи 333.33</w:t>
        </w:r>
      </w:hyperlink>
      <w:r>
        <w:rPr>
          <w:sz w:val="24"/>
        </w:rPr>
        <w:t xml:space="preserve"> НК, однако земельный участок предоставлен для целей, предусмотренных названной </w:t>
      </w:r>
      <w:hyperlink w:history="0" r:id="rId26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статьей</w:t>
        </w:r>
      </w:hyperlink>
      <w:r>
        <w:rPr>
          <w:sz w:val="24"/>
        </w:rPr>
        <w:t xml:space="preserve">, государственная пошлина должна уплачиваться согласно </w:t>
      </w:r>
      <w:hyperlink w:history="0" r:id="rId27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подпункту 24 пункта 1 статьи 333.33</w:t>
        </w:r>
      </w:hyperlink>
      <w:r>
        <w:rPr>
          <w:sz w:val="24"/>
        </w:rPr>
        <w:t xml:space="preserve"> НК.)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принятии решения о возврате документов без рассмотрения на основании </w:t>
      </w:r>
      <w:hyperlink w:history="0" r:id="rId28" w:tooltip="Федеральный закон от 13.07.2015 N 218-ФЗ (ред. от 31.07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пункта 3 статьи 25</w:t>
        </w:r>
      </w:hyperlink>
      <w:r>
        <w:rPr>
          <w:sz w:val="24"/>
        </w:rPr>
        <w:t xml:space="preserve"> Закона N 218-ФЗ в соответствующем уведомлении, направляемом заявителю, необходимо указывать в числе прочего верный размер государственной пошлины, который подлежит оплате в связи с заявляемым учетно-регистрационным действием.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Руководителям, исполняющим обязанности руководителей территориальных органов Росреестра, Госкомрегистра, Севреестра, необходимо: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обеспечить доведение до сведения государственных регистраторов прав соответствующей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сокращения случаев возврата документов без рассмотрения по причине, указанной в </w:t>
      </w:r>
      <w:hyperlink w:history="0" r:id="rId29" w:tooltip="Федеральный закон от 13.07.2015 N 218-ФЗ (ред. от 31.07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пункте 3 статьи 25</w:t>
        </w:r>
      </w:hyperlink>
      <w:r>
        <w:rPr>
          <w:sz w:val="24"/>
        </w:rPr>
        <w:t xml:space="preserve"> Закона N 218-ФЗ, организовать работу с многофункциональными центрами по предоставлению государственных и муниципальных услуг, заявителями, направленную на исключение случаев некорректного расчета государственной пошлины за осуществление учетно-регистрационных действий.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Т.А.ГРОМОВА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01.08.2025 N 14-7750-ТГ/25</w:t>
            <w:br/>
            <w:t>&lt;О некорректном расчете размера государственной пошлины за осуществлен...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01.08.2025 N 14-7750-ТГ/25 &lt;О некорректном расчете размера государственной пошлины за осуществлен...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header" Target="header1.xml"/>
	<Relationship Id="rId3" Type="http://schemas.openxmlformats.org/officeDocument/2006/relationships/header" Target="header2.xml"/>
	<Relationship Id="rId4" Type="http://schemas.openxmlformats.org/officeDocument/2006/relationships/image" Target="media/image1.png"/>
	<Relationship Id="rId5" Type="http://schemas.openxmlformats.org/officeDocument/2006/relationships/footer" Target="footer1.xml"/>
	<Relationship Id="rId6" Type="http://schemas.openxmlformats.org/officeDocument/2006/relationships/hyperlink" Target="https://login.consultant.ru/link/?req=doc&amp;base=LAW&amp;n=401515&amp;date=22.08.2025&amp;demo=2" TargetMode = "External"/>
	<Relationship Id="rId7" Type="http://schemas.openxmlformats.org/officeDocument/2006/relationships/hyperlink" Target="https://login.consultant.ru/link/?req=doc&amp;base=LAW&amp;n=511270&amp;date=22.08.2025&amp;dst=1338&amp;field=134&amp;demo=2" TargetMode = "External"/>
	<Relationship Id="rId8" Type="http://schemas.openxmlformats.org/officeDocument/2006/relationships/hyperlink" Target="https://login.consultant.ru/link/?req=doc&amp;base=LAW&amp;n=511075&amp;date=22.08.2025&amp;dst=1027&amp;field=134&amp;demo=2" TargetMode = "External"/>
	<Relationship Id="rId9" Type="http://schemas.openxmlformats.org/officeDocument/2006/relationships/hyperlink" Target="https://login.consultant.ru/link/?req=doc&amp;base=LAW&amp;n=511075&amp;date=22.08.2025&amp;dst=1027&amp;field=134&amp;demo=2" TargetMode = "External"/>
	<Relationship Id="rId10" Type="http://schemas.openxmlformats.org/officeDocument/2006/relationships/hyperlink" Target="https://login.consultant.ru/link/?req=doc&amp;base=LAW&amp;n=511075&amp;date=22.08.2025&amp;dst=26974&amp;field=134&amp;demo=2" TargetMode = "External"/>
	<Relationship Id="rId11" Type="http://schemas.openxmlformats.org/officeDocument/2006/relationships/hyperlink" Target="https://login.consultant.ru/link/?req=doc&amp;base=LAW&amp;n=511075&amp;date=22.08.2025&amp;dst=5304&amp;field=134&amp;demo=2" TargetMode = "External"/>
	<Relationship Id="rId12" Type="http://schemas.openxmlformats.org/officeDocument/2006/relationships/hyperlink" Target="https://login.consultant.ru/link/?req=doc&amp;base=LAW&amp;n=511075&amp;date=22.08.2025&amp;dst=26233&amp;field=134&amp;demo=2" TargetMode = "External"/>
	<Relationship Id="rId13" Type="http://schemas.openxmlformats.org/officeDocument/2006/relationships/hyperlink" Target="https://login.consultant.ru/link/?req=doc&amp;base=LAW&amp;n=511075&amp;date=22.08.2025&amp;dst=18330&amp;field=134&amp;demo=2" TargetMode = "External"/>
	<Relationship Id="rId14" Type="http://schemas.openxmlformats.org/officeDocument/2006/relationships/hyperlink" Target="https://login.consultant.ru/link/?req=doc&amp;base=LAW&amp;n=511075&amp;date=22.08.2025&amp;dst=27432&amp;field=134&amp;demo=2" TargetMode = "External"/>
	<Relationship Id="rId15" Type="http://schemas.openxmlformats.org/officeDocument/2006/relationships/hyperlink" Target="https://login.consultant.ru/link/?req=doc&amp;base=LAW&amp;n=511075&amp;date=22.08.2025&amp;dst=26262&amp;field=134&amp;demo=2" TargetMode = "External"/>
	<Relationship Id="rId16" Type="http://schemas.openxmlformats.org/officeDocument/2006/relationships/hyperlink" Target="https://login.consultant.ru/link/?req=doc&amp;base=LAW&amp;n=511075&amp;date=22.08.2025&amp;dst=26233&amp;field=134&amp;demo=2" TargetMode = "External"/>
	<Relationship Id="rId17" Type="http://schemas.openxmlformats.org/officeDocument/2006/relationships/hyperlink" Target="https://login.consultant.ru/link/?req=doc&amp;base=LAW&amp;n=511075&amp;date=22.08.2025&amp;dst=26242&amp;field=134&amp;demo=2" TargetMode = "External"/>
	<Relationship Id="rId18" Type="http://schemas.openxmlformats.org/officeDocument/2006/relationships/hyperlink" Target="https://login.consultant.ru/link/?req=doc&amp;base=LAW&amp;n=483130&amp;date=22.08.2025&amp;demo=2" TargetMode = "External"/>
	<Relationship Id="rId19" Type="http://schemas.openxmlformats.org/officeDocument/2006/relationships/hyperlink" Target="https://login.consultant.ru/link/?req=doc&amp;base=LAW&amp;n=511075&amp;date=22.08.2025&amp;dst=1320&amp;field=134&amp;demo=2" TargetMode = "External"/>
	<Relationship Id="rId20" Type="http://schemas.openxmlformats.org/officeDocument/2006/relationships/hyperlink" Target="https://login.consultant.ru/link/?req=doc&amp;base=LAW&amp;n=511075&amp;date=22.08.2025&amp;dst=27431&amp;field=134&amp;demo=2" TargetMode = "External"/>
	<Relationship Id="rId21" Type="http://schemas.openxmlformats.org/officeDocument/2006/relationships/hyperlink" Target="https://login.consultant.ru/link/?req=doc&amp;base=LAW&amp;n=511075&amp;date=22.08.2025&amp;dst=27432&amp;field=134&amp;demo=2" TargetMode = "External"/>
	<Relationship Id="rId22" Type="http://schemas.openxmlformats.org/officeDocument/2006/relationships/hyperlink" Target="https://login.consultant.ru/link/?req=doc&amp;base=LAW&amp;n=504722&amp;date=22.08.2025&amp;dst=100010&amp;field=134&amp;demo=2" TargetMode = "External"/>
	<Relationship Id="rId23" Type="http://schemas.openxmlformats.org/officeDocument/2006/relationships/hyperlink" Target="https://login.consultant.ru/link/?req=doc&amp;base=LAW&amp;n=511075&amp;date=22.08.2025&amp;dst=27431&amp;field=134&amp;demo=2" TargetMode = "External"/>
	<Relationship Id="rId24" Type="http://schemas.openxmlformats.org/officeDocument/2006/relationships/hyperlink" Target="https://login.consultant.ru/link/?req=doc&amp;base=LAW&amp;n=511075&amp;date=22.08.2025&amp;dst=27432&amp;field=134&amp;demo=2" TargetMode = "External"/>
	<Relationship Id="rId25" Type="http://schemas.openxmlformats.org/officeDocument/2006/relationships/hyperlink" Target="https://login.consultant.ru/link/?req=doc&amp;base=LAW&amp;n=511075&amp;date=22.08.2025&amp;dst=27431&amp;field=134&amp;demo=2" TargetMode = "External"/>
	<Relationship Id="rId26" Type="http://schemas.openxmlformats.org/officeDocument/2006/relationships/hyperlink" Target="https://login.consultant.ru/link/?req=doc&amp;base=LAW&amp;n=511075&amp;date=22.08.2025&amp;dst=1027&amp;field=134&amp;demo=2" TargetMode = "External"/>
	<Relationship Id="rId27" Type="http://schemas.openxmlformats.org/officeDocument/2006/relationships/hyperlink" Target="https://login.consultant.ru/link/?req=doc&amp;base=LAW&amp;n=511075&amp;date=22.08.2025&amp;dst=27431&amp;field=134&amp;demo=2" TargetMode = "External"/>
	<Relationship Id="rId28" Type="http://schemas.openxmlformats.org/officeDocument/2006/relationships/hyperlink" Target="https://login.consultant.ru/link/?req=doc&amp;base=LAW&amp;n=511270&amp;date=22.08.2025&amp;dst=1338&amp;field=134&amp;demo=2" TargetMode = "External"/>
	<Relationship Id="rId29" Type="http://schemas.openxmlformats.org/officeDocument/2006/relationships/hyperlink" Target="https://login.consultant.ru/link/?req=doc&amp;base=LAW&amp;n=511270&amp;date=22.08.2025&amp;dst=1338&amp;field=134&amp;demo=2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	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01.08.2025 N 14-7750-ТГ/25
&lt;О некорректном расчете размера государственной пошлины за осуществление учетно-регистрационных действий&gt;</dc:title>
  <dcterms:created xsi:type="dcterms:W3CDTF">2025-08-22T10:45:34Z</dcterms:created>
</cp:coreProperties>
</file>