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Минюста России от 22.08.2025 N 204</w:t>
              <w:br/>
              <w:t xml:space="preserve">"О внесении изменений в Регламент совершения нотариусами нотариальных действий, устанавливающий объем информации, необходимой нотариусу для совершения нотариальных действий, и способ ее фиксирования, утвержденный приказом Министерства юстиции Российской Федерации от 30.08.2017 N 156"</w:t>
              <w:br/>
              <w:t xml:space="preserve">(Зарегистрировано в Минюсте России 26.08.2025 N 83315)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августа 2025 г. N 83315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ЮСТИЦИИ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августа 2025 г. N 204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РЕГЛАМЕНТ СОВЕРШЕНИЯ НОТАРИУСАМИ НОТАРИАЛЬНЫХ</w:t>
      </w:r>
    </w:p>
    <w:p>
      <w:pPr>
        <w:pStyle w:val="2"/>
        <w:jc w:val="center"/>
      </w:pPr>
      <w:r>
        <w:rPr>
          <w:sz w:val="24"/>
        </w:rPr>
        <w:t xml:space="preserve">ДЕЙСТВИЙ, УСТАНАВЛИВАЮЩИЙ ОБЪЕМ ИНФОРМАЦИИ, НЕОБХОДИМОЙ</w:t>
      </w:r>
    </w:p>
    <w:p>
      <w:pPr>
        <w:pStyle w:val="2"/>
        <w:jc w:val="center"/>
      </w:pPr>
      <w:r>
        <w:rPr>
          <w:sz w:val="24"/>
        </w:rPr>
        <w:t xml:space="preserve">НОТАРИУСУ ДЛЯ СОВЕРШЕНИЯ НОТАРИАЛЬНЫХ ДЕЙСТВИЙ, И СПОСОБ</w:t>
      </w:r>
    </w:p>
    <w:p>
      <w:pPr>
        <w:pStyle w:val="2"/>
        <w:jc w:val="center"/>
      </w:pPr>
      <w:r>
        <w:rPr>
          <w:sz w:val="24"/>
        </w:rPr>
        <w:t xml:space="preserve">ЕЕ ФИКСИРОВАНИЯ, УТВЕРЖДЕННЫЙ ПРИКАЗОМ МИНИСТЕРСТВА</w:t>
      </w:r>
    </w:p>
    <w:p>
      <w:pPr>
        <w:pStyle w:val="2"/>
        <w:jc w:val="center"/>
      </w:pPr>
      <w:r>
        <w:rPr>
          <w:sz w:val="24"/>
        </w:rPr>
        <w:t xml:space="preserve">ЮСТИЦИИ РОССИЙСКОЙ ФЕДЕРАЦИИ ОТ 30.08.2017 N 156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частью первой статьи 39</w:t>
        </w:r>
      </w:hyperlink>
      <w:r>
        <w:rPr>
          <w:sz w:val="24"/>
        </w:rPr>
        <w:t xml:space="preserve"> Основ законодательства Российской Федерации о нотариате от 11.02.1993 N 4462-I, </w:t>
      </w:r>
      <w:hyperlink w:history="0" r:id="rId9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статьями 1</w:t>
        </w:r>
      </w:hyperlink>
      <w:r>
        <w:rPr>
          <w:sz w:val="24"/>
        </w:rPr>
        <w:t xml:space="preserve"> и </w:t>
      </w:r>
      <w:hyperlink w:history="0" r:id="rId10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Федерального закона от 31.07.2025 N 318-ФЗ "О внесении изменений в отдельные законодательные акты Российской Федерации" и </w:t>
      </w:r>
      <w:hyperlink w:history="0" r:id="rId11" w:tooltip="Указ Президента РФ от 13.01.2023 N 10 (ред. от 09.10.2023) &quot;Вопросы Министерства юстиции Российской Федерации&quot; (вместе с &quot;Положением о Министерстве юстиции Российской Федерации&quot;) {КонсультантПлюс}">
        <w:r>
          <w:rPr>
            <w:sz w:val="24"/>
            <w:color w:val="0000ff"/>
          </w:rPr>
          <w:t xml:space="preserve">подпунктом 4 пункта 2</w:t>
        </w:r>
      </w:hyperlink>
      <w:r>
        <w:rPr>
          <w:sz w:val="24"/>
        </w:rPr>
        <w:t xml:space="preserve"> Положения о Министерстве юстиции Российской Федерации, утвержденного Указом Президента Российской Федерации от 13.01.2023 N 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2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совершения нотариусами нотариальных действий, устанавливающий объем информации, необходимой нотариусу для совершения нотариальных действий, и способ ее фиксирования, утвержденный приказом Министерства юстиции Российской Федерации от 30.08.2017 N 156 (зарегистрирован Минюстом России 06.09.2017, регистрационный N 48092), с изменениями, внесенными приказами Министерства юстиции Российской Федерации от 05.07.2019 N 134 (зарегистрирован Минюстом России 12.07.2019, регистрационный N 55244), от 31.03.2020 N 79 (зарегистрирован Минюстом России 08.04.2020, регистрационный N 58018), от 30.09.2020 N 230 (зарегистрирован Минюстом России 05.10.2020, регистрационный N 60213), от 24.11.2021 N 223 (зарегистрирован Минюстом России 29.11.2021, регистрационный N 66035), от 19.12.2023 N 382 (зарегистрирован Минюстом России 21.12.2023, регистрационный N 76514), от 05.09.2024 N 262 (зарегистрирован Минюстом России 09.09.2024, регистрационный N 79410), от 30.01.2025 N 12 (зарегистрирован Минюстом России 31.01.2025, регистрационный N 81098), согласно </w:t>
      </w:r>
      <w:hyperlink w:history="0" w:anchor="P36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К.А.ЧУЙЧЕНКО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юстиции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22.08.2025 N 204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решением Правления</w:t>
      </w:r>
    </w:p>
    <w:p>
      <w:pPr>
        <w:pStyle w:val="0"/>
        <w:jc w:val="right"/>
      </w:pPr>
      <w:r>
        <w:rPr>
          <w:sz w:val="24"/>
        </w:rPr>
        <w:t xml:space="preserve">Федеральной нотариальной палаты</w:t>
      </w:r>
    </w:p>
    <w:p>
      <w:pPr>
        <w:pStyle w:val="0"/>
        <w:jc w:val="right"/>
      </w:pPr>
      <w:r>
        <w:rPr>
          <w:sz w:val="24"/>
        </w:rPr>
        <w:t xml:space="preserve">от 05.08.2025 N 13/25</w:t>
      </w:r>
    </w:p>
    <w:p>
      <w:pPr>
        <w:pStyle w:val="0"/>
        <w:jc w:val="right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РЕГЛАМЕНТ СОВЕРШЕНИЯ НОТАРИУСАМИ НОТАРИАЛЬНЫХ</w:t>
      </w:r>
    </w:p>
    <w:p>
      <w:pPr>
        <w:pStyle w:val="2"/>
        <w:jc w:val="center"/>
      </w:pPr>
      <w:r>
        <w:rPr>
          <w:sz w:val="24"/>
        </w:rPr>
        <w:t xml:space="preserve">ДЕЙСТВИЙ, УСТАНАВЛИВАЮЩИЙ ОБЪЕМ ИНФОРМАЦИИ, НЕОБХОДИМОЙ</w:t>
      </w:r>
    </w:p>
    <w:p>
      <w:pPr>
        <w:pStyle w:val="2"/>
        <w:jc w:val="center"/>
      </w:pPr>
      <w:r>
        <w:rPr>
          <w:sz w:val="24"/>
        </w:rPr>
        <w:t xml:space="preserve">НОТАРИУСУ ДЛЯ СОВЕРШЕНИЯ НОТАРИАЛЬНЫХ ДЕЙСТВИЙ, И СПОСОБ</w:t>
      </w:r>
    </w:p>
    <w:p>
      <w:pPr>
        <w:pStyle w:val="2"/>
        <w:jc w:val="center"/>
      </w:pPr>
      <w:r>
        <w:rPr>
          <w:sz w:val="24"/>
        </w:rPr>
        <w:t xml:space="preserve">ЕЕ ФИКСИРОВАНИЯ, УТВЕРЖДЕННЫЙ ПРИКАЗОМ МИНИСТЕРСТВА</w:t>
      </w:r>
    </w:p>
    <w:p>
      <w:pPr>
        <w:pStyle w:val="2"/>
        <w:jc w:val="center"/>
      </w:pPr>
      <w:r>
        <w:rPr>
          <w:sz w:val="24"/>
        </w:rPr>
        <w:t xml:space="preserve">ЮСТИЦИИ РОССИЙСКОЙ ФЕДЕРАЦИИ ОТ 30.08.2017 N 156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3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раздела VIII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"VIII. Объем информации, необходимой при выдаче</w:t>
      </w:r>
    </w:p>
    <w:p>
      <w:pPr>
        <w:pStyle w:val="0"/>
        <w:jc w:val="center"/>
      </w:pPr>
      <w:r>
        <w:rPr>
          <w:sz w:val="24"/>
        </w:rPr>
        <w:t xml:space="preserve">свидетельства о праве на наследство, свидетельства</w:t>
      </w:r>
    </w:p>
    <w:p>
      <w:pPr>
        <w:pStyle w:val="0"/>
        <w:jc w:val="center"/>
      </w:pPr>
      <w:r>
        <w:rPr>
          <w:sz w:val="24"/>
        </w:rPr>
        <w:t xml:space="preserve">о праве собственности на долю в общем имуществе супругов,</w:t>
      </w:r>
    </w:p>
    <w:p>
      <w:pPr>
        <w:pStyle w:val="0"/>
        <w:jc w:val="center"/>
      </w:pPr>
      <w:r>
        <w:rPr>
          <w:sz w:val="24"/>
        </w:rPr>
        <w:t xml:space="preserve">свидетельства о праве пережившего супруга на временное</w:t>
      </w:r>
    </w:p>
    <w:p>
      <w:pPr>
        <w:pStyle w:val="0"/>
        <w:jc w:val="center"/>
      </w:pPr>
      <w:r>
        <w:rPr>
          <w:sz w:val="24"/>
        </w:rPr>
        <w:t xml:space="preserve">пользование транспортным средством, которое являлось</w:t>
      </w:r>
    </w:p>
    <w:p>
      <w:pPr>
        <w:pStyle w:val="0"/>
        <w:jc w:val="center"/>
      </w:pPr>
      <w:r>
        <w:rPr>
          <w:sz w:val="24"/>
        </w:rPr>
        <w:t xml:space="preserve">собственностью лица, погибшего (умершего) в связи с участием</w:t>
      </w:r>
    </w:p>
    <w:p>
      <w:pPr>
        <w:pStyle w:val="0"/>
        <w:jc w:val="center"/>
      </w:pPr>
      <w:r>
        <w:rPr>
          <w:sz w:val="24"/>
        </w:rPr>
        <w:t xml:space="preserve">(выполнением задач) в специальной военной операции,</w:t>
      </w:r>
    </w:p>
    <w:p>
      <w:pPr>
        <w:pStyle w:val="0"/>
        <w:jc w:val="center"/>
      </w:pPr>
      <w:r>
        <w:rPr>
          <w:sz w:val="24"/>
        </w:rPr>
        <w:t xml:space="preserve">отражением вооруженного вторжения на территорию</w:t>
      </w:r>
    </w:p>
    <w:p>
      <w:pPr>
        <w:pStyle w:val="0"/>
        <w:jc w:val="center"/>
      </w:pPr>
      <w:r>
        <w:rPr>
          <w:sz w:val="24"/>
        </w:rPr>
        <w:t xml:space="preserve">Российской Федерации либо в ходе вооруженной провокации</w:t>
      </w:r>
    </w:p>
    <w:p>
      <w:pPr>
        <w:pStyle w:val="0"/>
        <w:jc w:val="center"/>
      </w:pPr>
      <w:r>
        <w:rPr>
          <w:sz w:val="24"/>
        </w:rPr>
        <w:t xml:space="preserve">на Государственной границе Российской Федерации</w:t>
      </w:r>
    </w:p>
    <w:p>
      <w:pPr>
        <w:pStyle w:val="0"/>
        <w:jc w:val="center"/>
      </w:pPr>
      <w:r>
        <w:rPr>
          <w:sz w:val="24"/>
        </w:rPr>
        <w:t xml:space="preserve">и территориях субъектов Российской Федерации, прилегающих</w:t>
      </w:r>
    </w:p>
    <w:p>
      <w:pPr>
        <w:pStyle w:val="0"/>
        <w:jc w:val="center"/>
      </w:pPr>
      <w:r>
        <w:rPr>
          <w:sz w:val="24"/>
        </w:rPr>
        <w:t xml:space="preserve">к районам проведения специальной военной операции,</w:t>
      </w:r>
    </w:p>
    <w:p>
      <w:pPr>
        <w:pStyle w:val="0"/>
        <w:jc w:val="center"/>
      </w:pPr>
      <w:r>
        <w:rPr>
          <w:sz w:val="24"/>
        </w:rPr>
        <w:t xml:space="preserve">принятии мер к охране наследственного имущества,</w:t>
      </w:r>
    </w:p>
    <w:p>
      <w:pPr>
        <w:pStyle w:val="0"/>
        <w:jc w:val="center"/>
      </w:pPr>
      <w:r>
        <w:rPr>
          <w:sz w:val="24"/>
        </w:rPr>
        <w:t xml:space="preserve">и порядок ее фиксирования"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</w:t>
      </w:r>
      <w:hyperlink w:history="0" r:id="rId14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54(1)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"54(1). Информацию о гибели (смерти) лица в связи с участием наследодателя (выполнением им задач) в специальной военной операции,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нотариус устанавливает на основании: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справки о смерти гражданина по </w:t>
      </w:r>
      <w:hyperlink w:history="0" r:id="rId15" w:tooltip="Постановление Правительства РФ от 01.09.2023 N 1421 (ред. от 05.04.2024) &quot;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, Правил выдачи справки о смерти гражданина, формы справки об обстоятельствах исчезновения гражданина, формы справки об обстоятельствах исчезновения или возможной гибели гражданина, формы справки о смерти гражданина&quot;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установленной постановлением Правительства Российской Федерации от 01.09.2023 N 1421 "Об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гражданина, Правил выдачи справки о смерти гражданина, формы справки об обстоятельствах исчезновения гражданина, формы справки об обстоятельствах исчезновения или возможной гибели гражданина, формы справки о смерти гражданина";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справки об обстоятельствах гибели (смерти) гражданина, пребывавшего в добровольческом формировании по </w:t>
      </w:r>
      <w:hyperlink w:history="0" r:id="rId16" w:tooltip="Приказ Министра обороны РФ от 06.05.2012 N 1100 (ред. от 17.02.2023) &quot;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&quot;О денежном довольствии военнослужащих и предоставлении им отдельных выплат&quot; (Зарегистрировано в Минюсте России 18.06.2012 N 24602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приведенной в рекомендуемом образце приложения N 4 к Порядку выплат в Министерстве обороны Российской Федерации единовременных пособий, предусмотренных частями 8 и 12 статьи 3 Федерального закона от 7 ноября 2011 г. N 306-ФЗ "О денежном довольствии военнослужащих и предоставлении им отдельных выплат", утвержденному приказом Министра обороны Российской Федерации от 06.05.2012 N 1100 (зарегистрирован Минюстом России 18.06.2012, регистрационный N 24602), с изменениями, внесенными приказами Министра обороны Российской Федерации от 08.09.2017 N 539 (зарегистрирован Минюстом России 02.10.2017, регистрационный N 48384), от 23.09.2019 N 556 (зарегистрирован Минюстом России 25.10.2019, регистрационный N 56324), от 17.02.2023 N 72 (зарегистрирован Минюстом России 06.03.2023, регистрационный N 72534);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справки об обстоятельствах наступления страхового случая в связи с гибелью (смертью) застрахованного лица (военнослужащего) в период прохождения военной службы (военных сборов) по </w:t>
      </w:r>
      <w:hyperlink w:history="0" r:id="rId17" w:tooltip="Приказ Министра обороны РФ от 08.12.2022 N 755 (ред. от 30.11.2024) &quot;Об утверждении Порядка организации работы по обязательному государственному страхованию жизни и здоровья военнослужащих Вооруженных Сил Российской Федерации, граждан, призванных на военные сборы, граждан, уволенных с военной службы, а также форм документов, необходимых для реализации Федерального закона от 28 марта 1998 г. N 52-ФЗ &quot;Об обязательном государственном страховании жизни и здоровья военнослужащих, граждан, призванных на военные с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приложения N 5 к приказу Министра обороны Российской Федерации от 08.12.2022 N 755 "Об утверждении Порядка организации работы по обязательному государственному страхованию жизни и здоровья военнослужащих Вооруженных Сил Российской Федерации, граждан, призванных на военные сборы, граждан, уволенных с военной службы, а также форм документов, необходимых для реализации Федерального закона от 28 марта 1998 г. N 52-ФЗ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 (зарегистрирован Минюстом России 22.12.2022, регистрационный N 71757) с изменениями, внесенными приказами Министра обороны Российской Федерации от 07.12.2023 N 821 (зарегистрирован Минюстом России 22.12.2023, регистрационный N 76562), от 30.11.2024 N 745 (зарегистрирован Минюстом России 28.12.2024, регистрационный N 80865);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судебного акта.".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8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абзаце втором пункта 64</w:t>
        </w:r>
      </w:hyperlink>
      <w:r>
        <w:rPr>
          <w:sz w:val="24"/>
        </w:rPr>
        <w:t xml:space="preserve"> слова "подпунктами 2, 6 и абзацем девятым пункта 63" заменить словами "подпунктами 6, 6(1) пункта 63".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19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абзаце первом пункта 74</w:t>
        </w:r>
      </w:hyperlink>
      <w:r>
        <w:rPr>
          <w:sz w:val="24"/>
        </w:rPr>
        <w:t xml:space="preserve"> слова "органом управления юридического лица" заменить словами "органом юридического лица".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20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Пункты 119(1)</w:t>
        </w:r>
      </w:hyperlink>
      <w:r>
        <w:rPr>
          <w:sz w:val="24"/>
        </w:rPr>
        <w:t xml:space="preserve"> и </w:t>
      </w:r>
      <w:hyperlink w:history="0" r:id="rId21" w:tooltip="Приказ Минюста России от 30.08.2017 N 156 (ред. от 30.01.2025) &quot;Об утверждении Регламента совершения нотариусами нотариальных действий, устанавливающего объем информации, необходимой нотариусу для совершения нотариальных действий, и способ ее фиксирования&quot; (вместе с &quot;Регламентом совершения нотариусами нотариальных действий, устанавливающим объем информации, необходимой нотариусу для совершения нотариальных действий, и способ ее фиксирования&quot;, утв. решением Правления ФНП от 28.08.2017 N 10/17, приказом Минюс {КонсультантПлюс}">
        <w:r>
          <w:rPr>
            <w:sz w:val="24"/>
            <w:color w:val="0000ff"/>
          </w:rPr>
          <w:t xml:space="preserve">119(2)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"119(1). При свидетельствовании подлинности подписи переводчика информацию о знании переводчиком русского жестового языка (сурдоперевода, тифлосурдоперевода) нотариус устанавливает: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 осуществлении перевода русского жестового языка инвалиду по слуху (сурдоперевод) на основании: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документа, подтверждающего наличие высшего образования по направлению "Лингвистика" с указанием профиля по переводу русского жестового языка или среднего профессионального образования по специальности "Организация сурдокоммуникации" или "Сурдокоммуникация", или документа, подтверждающего наличие любого высшего или среднего профессионального образования и дополнительного профессионального образования по программам профессиональной переподготовки по профилю русского жестового языка (сурдоперевода);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документа, подтверждающего повышение квалификации по русскому жестовому языку (сурдопереводу), или документа, подтверждающего прохождение независимой оценки квалификации по профессиональному </w:t>
      </w:r>
      <w:hyperlink w:history="0" r:id="rId22" w:tooltip="Приказ Минтруда России от 14.01.2022 N 13н &quot;Об утверждении профессионального стандарта &quot;Переводчик русского жестового языка&quot; (Зарегистрировано в Минюсте России 16.02.2022 N 67315) {КонсультантПлюс}">
        <w:r>
          <w:rPr>
            <w:sz w:val="24"/>
            <w:color w:val="0000ff"/>
          </w:rPr>
          <w:t xml:space="preserve">стандарту</w:t>
        </w:r>
      </w:hyperlink>
      <w:r>
        <w:rPr>
          <w:sz w:val="24"/>
        </w:rPr>
        <w:t xml:space="preserve"> "Переводчик русского жестового языка", утвержденному приказом Министерства труда и социальной защиты Российской Федерации от 14.01.2022 N 13н (зарегистрирован Минюстом России 16.02.2022, регистрационный N 67315, действует до 01.09.2028);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иных документов, предусмотренных законодательством Российской Федерации или признаваемых в соответствии с международным договором Российской Федерации в качестве документов, подтверждающих квалификацию переводчика русского жестового языка (сурдоперевода);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 осуществлении перевода русского жестового языка инвалиду с одновременными нарушениями слуха и зрения на основании: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документа, подтверждающего наличие высшего образования по направлению "Лингвистика" с указанием профиля по переводу русского жестового языка, или среднего профессионального образования по специальности "Организация сурдокоммуникации" или "Сурдокоммуникация", или документа, подтверждающего наличие любого высшего или среднего профессионального образования и дополнительного профессионального образования по программам профессиональной переподготовки по профилю русского жестового языка (сурдоперевода) вместе с документом о повышении квалификации или дополнительном образовании по направлению "Тифлосурдоперевод";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документа, подтверждающего прохождение независимой оценки квалификации по профессиональному </w:t>
      </w:r>
      <w:hyperlink w:history="0" r:id="rId23" w:tooltip="Приказ Минтруда России от 17.10.2016 N 575н (ред. от 16.12.2016) &quot;Об утверждении профессионального стандарта &quot;Тифлосурдопереводчик&quot; (Зарегистрировано в Минюсте России 02.11.2016 N 44230) {КонсультантПлюс}">
        <w:r>
          <w:rPr>
            <w:sz w:val="24"/>
            <w:color w:val="0000ff"/>
          </w:rPr>
          <w:t xml:space="preserve">стандарту</w:t>
        </w:r>
      </w:hyperlink>
      <w:r>
        <w:rPr>
          <w:sz w:val="24"/>
        </w:rPr>
        <w:t xml:space="preserve"> "Тифлосурдопереводчик", утвержденному приказом Министерства труда и социальной защиты Российской Федерации от 17.10.2016 N 575н (зарегистрирован Минюстом России 02.11.2016, регистрационный N 44230), с изменениями, внесенными приказом Минтруда России от 16.12.2016 N 748н (зарегистрирован Минюстом России 13.01.2017, регистрационный N 45185);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иных документов, предусмотренных законодательством Российской Федерации или признаваемых в соответствии с международным договором Российской Федерации в качестве документов, подтверждающих квалификацию переводчика русского жестового языка (тифлосурдоперевода).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представленном переводчиком документе нотариус фиксирует в реестре регистрации нотариальных действий или в реестре нотариальных действий ЕИС в порядке, установленном </w:t>
      </w:r>
      <w:hyperlink w:history="0" r:id="rId24" w:tooltip="Приказ Минюста России от 30.09.2020 N 224 (ред. от 20.05.2024) &quot;Об утверждении Требований к содержанию реестров единой информационной системы нотариата&quot; (вместе с &quot;Требованиями к содержанию реестров единой информационной системы нотариата&quot;, утв. решением Правления ФНП от 16.09.2020 N 16/20, приказом Минюста России от 30.09.2020 N 224) (Зарегистрировано в Минюсте России 05.10.2020 N 60208)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и </w:t>
      </w:r>
      <w:hyperlink w:history="0" r:id="rId25" w:tooltip="Приказ Минюста России от 30.09.2020 N 226 (ред. от 30.01.2025) &quot;Об утверждении форм реестров регистрации нотариальных действий, нотариальных свидетельств, удостоверительных надписей на сделках и свидетельствуемых документах и порядка их оформления&quot; (вместе с &quot;Формами реестров регистрации нотариальных действий, нотариальных свидетельств, удостоверительных надписей на сделках и свидетельствуемых документах&quot;, &quot;Порядком оформления форм реестров регистрации нотариальных действий, нотариальных свидетельств, удост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119(2). При свидетельствовании подлинности подписи переводчика информацию о знании иностранного языка, нотариус устанавливает из документов: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выданных в Российской Федерации и подтверждающих: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высшего лингвистического, филологического, педагогического образования по иностранному языку, с которого или на который осуществляется перевод (далее - язык перевода);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дополнительного профессионального (лингвистического, филологического, педагогического) образования по программам профессиональной переподготовки по языку перевода;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повышение квалификации по филологическому, педагогическому, лингвистическому направлению по языку перевода;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ученой степени по филологическому, педагогическому, лингвистическому направлению по языку перевода;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 иностранного гражданина высшего образования, полученного в образовательной организации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 иностранного гражданина стажа работы более пяти лет на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иных документов, предусмотренных законодательством Российской Федерации или признаваемых в соответствии с международным договором Российской Федерации в качестве документа, подтверждающего квалификацию переводчика;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выданных в иностранном государстве, где соответствующий язык перевода является официальным и подтверждающих: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высшего лингвистического, филологического, педагогического образования по направлению "Русский язык";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повышение квалификации по филологическому, педагогическому, лингвистическому направлению по направлению "Русский язык";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ученой степени по филологическому, педагогическому, лингвистическому направлению по направлению "Русский язык";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 лица, имеющего гражданство Российской Федерации, среднего или высшего образования, полученного в образовательной организации государства, в котором язык перевода является официальным;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у лица, имеющего гражданство Российской Федерации, стажа работы более пяти лет на территории государства, в котором язык перевода является официальным;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иных документов, предусмотренных законодательством Российской Федерации или признаваемых в соответствии с международным договором Российской Федерации в качестве документа, подтверждающего квалификацию переводчика.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представленном переводчиком документе нотариус фиксирует в реестре регистрации нотариальных действий или в реестре нотариальных действий ЕИС в порядке, установленном </w:t>
      </w:r>
      <w:hyperlink w:history="0" r:id="rId26" w:tooltip="Приказ Минюста России от 30.09.2020 N 224 (ред. от 20.05.2024) &quot;Об утверждении Требований к содержанию реестров единой информационной системы нотариата&quot; (вместе с &quot;Требованиями к содержанию реестров единой информационной системы нотариата&quot;, утв. решением Правления ФНП от 16.09.2020 N 16/20, приказом Минюста России от 30.09.2020 N 224) (Зарегистрировано в Минюсте России 05.10.2020 N 60208)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и </w:t>
      </w:r>
      <w:hyperlink w:history="0" r:id="rId27" w:tooltip="Приказ Минюста России от 30.09.2020 N 226 (ред. от 30.01.2025) &quot;Об утверждении форм реестров регистрации нотариальных действий, нотариальных свидетельств, удостоверительных надписей на сделках и свидетельствуемых документах и порядка их оформления&quot; (вместе с &quot;Формами реестров регистрации нотариальных действий, нотариальных свидетельств, удостоверительных надписей на сделках и свидетельствуемых документах&quot;, &quot;Порядком оформления форм реестров регистрации нотариальных действий, нотариальных свидетельств, удост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Минюста России от 22.08.2025 N 204</w:t>
            <w:br/>
            <w:t>"О внесении изменений в Регламент совершения нотариусами нотариальных действий...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5127&amp;date=28.08.2025&amp;dst=745&amp;field=134&amp;demo=2" TargetMode = "External"/><Relationship Id="rId9" Type="http://schemas.openxmlformats.org/officeDocument/2006/relationships/hyperlink" Target="https://login.consultant.ru/link/?req=doc&amp;base=LAW&amp;n=511122&amp;date=28.08.2025&amp;dst=100008&amp;field=134&amp;demo=2" TargetMode = "External"/><Relationship Id="rId10" Type="http://schemas.openxmlformats.org/officeDocument/2006/relationships/hyperlink" Target="https://login.consultant.ru/link/?req=doc&amp;base=LAW&amp;n=511122&amp;date=28.08.2025&amp;dst=100019&amp;field=134&amp;demo=2" TargetMode = "External"/><Relationship Id="rId11" Type="http://schemas.openxmlformats.org/officeDocument/2006/relationships/hyperlink" Target="https://login.consultant.ru/link/?req=doc&amp;base=LAW&amp;n=459092&amp;date=28.08.2025&amp;dst=100021&amp;field=134&amp;demo=2" TargetMode = "External"/><Relationship Id="rId12" Type="http://schemas.openxmlformats.org/officeDocument/2006/relationships/hyperlink" Target="https://login.consultant.ru/link/?req=doc&amp;base=LAW&amp;n=497585&amp;date=28.08.2025&amp;dst=100004&amp;field=134&amp;demo=2" TargetMode = "External"/><Relationship Id="rId13" Type="http://schemas.openxmlformats.org/officeDocument/2006/relationships/hyperlink" Target="https://login.consultant.ru/link/?req=doc&amp;base=LAW&amp;n=497585&amp;date=28.08.2025&amp;dst=100123&amp;field=134&amp;demo=2" TargetMode = "External"/><Relationship Id="rId14" Type="http://schemas.openxmlformats.org/officeDocument/2006/relationships/hyperlink" Target="https://login.consultant.ru/link/?req=doc&amp;base=LAW&amp;n=497585&amp;date=28.08.2025&amp;dst=100004&amp;field=134&amp;demo=2" TargetMode = "External"/><Relationship Id="rId15" Type="http://schemas.openxmlformats.org/officeDocument/2006/relationships/hyperlink" Target="https://login.consultant.ru/link/?req=doc&amp;base=LAW&amp;n=474049&amp;date=28.08.2025&amp;dst=100105&amp;field=134&amp;demo=2" TargetMode = "External"/><Relationship Id="rId16" Type="http://schemas.openxmlformats.org/officeDocument/2006/relationships/hyperlink" Target="https://login.consultant.ru/link/?req=doc&amp;base=LAW&amp;n=441407&amp;date=28.08.2025&amp;dst=100140&amp;field=134&amp;demo=2" TargetMode = "External"/><Relationship Id="rId17" Type="http://schemas.openxmlformats.org/officeDocument/2006/relationships/hyperlink" Target="https://login.consultant.ru/link/?req=doc&amp;base=LAW&amp;n=495269&amp;date=28.08.2025&amp;dst=100207&amp;field=134&amp;demo=2" TargetMode = "External"/><Relationship Id="rId18" Type="http://schemas.openxmlformats.org/officeDocument/2006/relationships/hyperlink" Target="https://login.consultant.ru/link/?req=doc&amp;base=LAW&amp;n=497585&amp;date=28.08.2025&amp;dst=68&amp;field=134&amp;demo=2" TargetMode = "External"/><Relationship Id="rId19" Type="http://schemas.openxmlformats.org/officeDocument/2006/relationships/hyperlink" Target="https://login.consultant.ru/link/?req=doc&amp;base=LAW&amp;n=497585&amp;date=28.08.2025&amp;dst=239&amp;field=134&amp;demo=2" TargetMode = "External"/><Relationship Id="rId20" Type="http://schemas.openxmlformats.org/officeDocument/2006/relationships/hyperlink" Target="https://login.consultant.ru/link/?req=doc&amp;base=LAW&amp;n=497585&amp;date=28.08.2025&amp;dst=243&amp;field=134&amp;demo=2" TargetMode = "External"/><Relationship Id="rId21" Type="http://schemas.openxmlformats.org/officeDocument/2006/relationships/hyperlink" Target="https://login.consultant.ru/link/?req=doc&amp;base=LAW&amp;n=497585&amp;date=28.08.2025&amp;dst=250&amp;field=134&amp;demo=2" TargetMode = "External"/><Relationship Id="rId22" Type="http://schemas.openxmlformats.org/officeDocument/2006/relationships/hyperlink" Target="https://login.consultant.ru/link/?req=doc&amp;base=LAW&amp;n=409645&amp;date=28.08.2025&amp;dst=100010&amp;field=134&amp;demo=2" TargetMode = "External"/><Relationship Id="rId23" Type="http://schemas.openxmlformats.org/officeDocument/2006/relationships/hyperlink" Target="https://login.consultant.ru/link/?req=doc&amp;base=LAW&amp;n=210930&amp;date=28.08.2025&amp;dst=100009&amp;field=134&amp;demo=2" TargetMode = "External"/><Relationship Id="rId24" Type="http://schemas.openxmlformats.org/officeDocument/2006/relationships/hyperlink" Target="https://login.consultant.ru/link/?req=doc&amp;base=LAW&amp;n=476954&amp;date=28.08.2025&amp;dst=100018&amp;field=134&amp;demo=2" TargetMode = "External"/><Relationship Id="rId25" Type="http://schemas.openxmlformats.org/officeDocument/2006/relationships/hyperlink" Target="https://login.consultant.ru/link/?req=doc&amp;base=LAW&amp;n=497685&amp;date=28.08.2025&amp;dst=100471&amp;field=134&amp;demo=2" TargetMode = "External"/><Relationship Id="rId26" Type="http://schemas.openxmlformats.org/officeDocument/2006/relationships/hyperlink" Target="https://login.consultant.ru/link/?req=doc&amp;base=LAW&amp;n=476954&amp;date=28.08.2025&amp;dst=100018&amp;field=134&amp;demo=2" TargetMode = "External"/><Relationship Id="rId27" Type="http://schemas.openxmlformats.org/officeDocument/2006/relationships/hyperlink" Target="https://login.consultant.ru/link/?req=doc&amp;base=LAW&amp;n=497685&amp;date=28.08.2025&amp;dst=10047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22.08.2025 N 204
"О внесении изменений в Регламент совершения нотариусами нотариальных действий, устанавливающий объем информации, необходимой нотариусу для совершения нотариальных действий, и способ ее фиксирования, утвержденный приказом Министерства юстиции Российской Федерации от 30.08.2017 N 156"
(Зарегистрировано в Минюсте России 26.08.2025 N 83315)</dc:title>
  <dcterms:created xsi:type="dcterms:W3CDTF">2025-08-28T15:52:22Z</dcterms:created>
</cp:coreProperties>
</file>