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Минстроя России от 20.05.2025 N 301/пр</w:t>
              <w:br/>
              <w:t xml:space="preserve">"Об утверждении типовых индикаторов риска нарушения обязательных требований, используемых при осуществлении государственного жилищного надзора и муниципального жилищного контроля"</w:t>
              <w:br/>
              <w:t xml:space="preserve">(Зарегистрировано в Минюсте России 27.08.2025 N 83337)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августа 2025 г. N 83337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мая 2025 г. N 301/пр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ТИПОВЫХ ИНДИКАТОРОВ</w:t>
      </w:r>
    </w:p>
    <w:p>
      <w:pPr>
        <w:pStyle w:val="2"/>
        <w:jc w:val="center"/>
      </w:pPr>
      <w:r>
        <w:rPr>
          <w:sz w:val="24"/>
        </w:rPr>
        <w:t xml:space="preserve">РИСКА НАРУШЕНИЯ ОБЯЗАТЕЛЬНЫХ ТРЕБОВАНИЙ, ИСПОЛЬЗУЕМЫХ</w:t>
      </w:r>
    </w:p>
    <w:p>
      <w:pPr>
        <w:pStyle w:val="2"/>
        <w:jc w:val="center"/>
      </w:pPr>
      <w:r>
        <w:rPr>
          <w:sz w:val="24"/>
        </w:rPr>
        <w:t xml:space="preserve">ПРИ ОСУЩЕСТВЛЕНИИ ГОСУДАРСТВЕННОГО ЖИЛИЩНОГО НАДЗОРА</w:t>
      </w:r>
    </w:p>
    <w:p>
      <w:pPr>
        <w:pStyle w:val="2"/>
        <w:jc w:val="center"/>
      </w:pPr>
      <w:r>
        <w:rPr>
          <w:sz w:val="24"/>
        </w:rPr>
        <w:t xml:space="preserve">И МУНИЦИПАЛЬНОГО ЖИЛИЩНОГО КОНТРОЛЯ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13 статьи 20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9" w:tooltip="Федеральный закон от 31.07.2020 N 248-ФЗ (ред. от 28.12.2024) &quot;О государственном контроле (надзоре) и муниципальном контроле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пунктом 1 части 10 статьи 23</w:t>
        </w:r>
      </w:hyperlink>
      <w:r>
        <w:rPr>
          <w:sz w:val="24"/>
        </w:rPr>
        <w:t xml:space="preserve"> Федерального закона от 31 июля 2020 г. N 248-ФЗ "О государственном контроле (надзоре) и муниципальном контроле в Российской Федерации", </w:t>
      </w:r>
      <w:hyperlink w:history="0" r:id="rId10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типовые </w:t>
      </w:r>
      <w:hyperlink w:history="0" w:anchor="P32" w:tooltip="ТИПОВЫЕ ИНДИКАТОРЫ">
        <w:r>
          <w:rPr>
            <w:sz w:val="24"/>
            <w:color w:val="0000ff"/>
          </w:rPr>
          <w:t xml:space="preserve">индикаторы</w:t>
        </w:r>
      </w:hyperlink>
      <w:r>
        <w:rPr>
          <w:sz w:val="24"/>
        </w:rPr>
        <w:t xml:space="preserve"> риска нарушения обязательных требований, используемые при осуществлении государственного жилищного надзора и муниципального жилищного контроля.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1" w:tooltip="Приказ Минстроя России от 23.12.2021 N 990/пр &quot;Об утверждении типовых индикаторов риска нарушения обязательных требований, используемых при осуществлении государственного жилищного надзора и муниципального жилищного контроля&quot; (Зарегистрировано в Минюсте России 11.02.2022 N 67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строительства и жилищно-коммунального хозяйства Российской Федерации от 23 декабря 2021 г. N 990/пр "Об утверждении типовых индикаторов риска нарушения обязательных требований, используемых при осуществлении государственного жилищного надзора и муниципального жилищного контроля" (зарегистрирован Министерством юстиции Российской Федерации 11 февраля 2022 г., регистрационный N 67247).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мая 2025 г. N 301/пр</w:t>
      </w:r>
    </w:p>
    <w:p>
      <w:pPr>
        <w:pStyle w:val="0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ТИПОВЫЕ ИНДИКАТОРЫ</w:t>
      </w:r>
    </w:p>
    <w:p>
      <w:pPr>
        <w:pStyle w:val="2"/>
        <w:jc w:val="center"/>
      </w:pPr>
      <w:r>
        <w:rPr>
          <w:sz w:val="24"/>
        </w:rPr>
        <w:t xml:space="preserve">РИСКА НАРУШЕНИЯ ОБЯЗАТЕЛЬНЫХ ТРЕБОВАНИЙ, ИСПОЛЬЗУЕМЫЕ</w:t>
      </w:r>
    </w:p>
    <w:p>
      <w:pPr>
        <w:pStyle w:val="2"/>
        <w:jc w:val="center"/>
      </w:pPr>
      <w:r>
        <w:rPr>
          <w:sz w:val="24"/>
        </w:rPr>
        <w:t xml:space="preserve">ПРИ ОСУЩЕСТВЛЕНИИ ГОСУДАРСТВЕННОГО ЖИЛИЩНОГО НАДЗОРА</w:t>
      </w:r>
    </w:p>
    <w:p>
      <w:pPr>
        <w:pStyle w:val="2"/>
        <w:jc w:val="center"/>
      </w:pPr>
      <w:r>
        <w:rPr>
          <w:sz w:val="24"/>
        </w:rPr>
        <w:t xml:space="preserve">И МУНИЦИПАЛЬНОГО ЖИЛИЩНОГО КОНТРОЛЯ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Наличие у органа, осуществляющего государственный жилищный надзор или муниципальный жилищный контроль, сведений о принятии арбитражным судом Российской Федерации искового заявления (исковых заявлений) о взыскании задолженности по договору (договорам)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в целях обеспечения предоставления собственникам и пользователям помещений в многоквартирном доме коммунальной услуги соответствующего вида и приобретения коммунальных ресурсов, потребляемых при содержании общего имущества в многоквартирном доме, договору (договорам) на оказание услуг по обращению с твердыми коммунальными отходами, общая сумма которой превышает триста тысяч рублей, образовавшейся в течение двенадцати месяцев до дня принятия решения о проведении и выборе вида внепланового контрольного (надзорного) мероприятия.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Наличие у органа, осуществляющего государственный жилищный надзор или муниципальный жилищный контроль, сведений о начислении платы за коммунальную услугу по отоплению &lt;1&gt; исходя из норматива потребления, утвержденного уполномоченным органом государственной власти субъекта Российской Федерации &lt;2&gt;, более трех расчетных периодов &lt;3&gt; подряд.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 2 статьи 155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3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 1 статьи 157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37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354. Срок действия ограничен до 31 декабря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20.05.2025 N 301/пр</w:t>
            <w:br/>
            <w:t>"Об утверждении типовых индикаторов риска нарушения обязательных требовани...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0569&amp;date=29.08.2025&amp;dst=1032&amp;field=134&amp;demo=2" TargetMode = "External"/><Relationship Id="rId9" Type="http://schemas.openxmlformats.org/officeDocument/2006/relationships/hyperlink" Target="https://login.consultant.ru/link/?req=doc&amp;base=LAW&amp;n=496567&amp;date=29.08.2025&amp;dst=100271&amp;field=134&amp;demo=2" TargetMode = "External"/><Relationship Id="rId10" Type="http://schemas.openxmlformats.org/officeDocument/2006/relationships/hyperlink" Target="https://login.consultant.ru/link/?req=doc&amp;base=LAW&amp;n=507478&amp;date=29.08.2025&amp;dst=166&amp;field=134&amp;demo=2" TargetMode = "External"/><Relationship Id="rId11" Type="http://schemas.openxmlformats.org/officeDocument/2006/relationships/hyperlink" Target="https://login.consultant.ru/link/?req=doc&amp;base=LAW&amp;n=409097&amp;date=29.08.2025&amp;demo=2" TargetMode = "External"/><Relationship Id="rId12" Type="http://schemas.openxmlformats.org/officeDocument/2006/relationships/hyperlink" Target="https://login.consultant.ru/link/?req=doc&amp;base=LAW&amp;n=510569&amp;date=29.08.2025&amp;dst=101421&amp;field=134&amp;demo=2" TargetMode = "External"/><Relationship Id="rId13" Type="http://schemas.openxmlformats.org/officeDocument/2006/relationships/hyperlink" Target="https://login.consultant.ru/link/?req=doc&amp;base=LAW&amp;n=510569&amp;date=29.08.2025&amp;dst=922&amp;field=134&amp;demo=2" TargetMode = "External"/><Relationship Id="rId14" Type="http://schemas.openxmlformats.org/officeDocument/2006/relationships/hyperlink" Target="https://login.consultant.ru/link/?req=doc&amp;base=LAW&amp;n=485337&amp;date=29.08.2025&amp;dst=10024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20.05.2025 N 301/пр
"Об утверждении типовых индикаторов риска нарушения обязательных требований, используемых при осуществлении государственного жилищного надзора и муниципального жилищного контроля"
(Зарегистрировано в Минюсте России 27.08.2025 N 83337)</dc:title>
  <dcterms:created xsi:type="dcterms:W3CDTF">2025-08-29T12:08:27Z</dcterms:created>
</cp:coreProperties>
</file>