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Министра обороны РФ от 24.07.2025 N 466</w:t>
              <w:br/>
              <w:t xml:space="preserve">"О внесении изменений в Нормы и Порядок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службы, установленные приказом Министра обороны Российской Федерации от 16 декабря 2020 г. N 686"</w:t>
              <w:br/>
              <w:t xml:space="preserve">(Зарегистрировано в Минюсте России 26.08.2025 N 83326)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29.08.2025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26 августа 2025 г. N 83326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МИНИСТР ОБОРОНЫ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24 июля 2025 г. N 466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НОРМЫ И ПОРЯДОК ОБЕСПЕЧЕНИЯ ВОИНСКИХ ЧАСТЕЙ И ОРГАНИЗАЦИЙ</w:t>
      </w:r>
    </w:p>
    <w:p>
      <w:pPr>
        <w:pStyle w:val="2"/>
        <w:jc w:val="center"/>
      </w:pPr>
      <w:r>
        <w:rPr>
          <w:sz w:val="24"/>
        </w:rPr>
        <w:t xml:space="preserve">ВООРУЖЕННЫХ СИЛ РОССИЙСКОЙ ФЕДЕРАЦИИ ТЕХНИКОЙ, ПРОДУКЦИЕЙ</w:t>
      </w:r>
    </w:p>
    <w:p>
      <w:pPr>
        <w:pStyle w:val="2"/>
        <w:jc w:val="center"/>
      </w:pPr>
      <w:r>
        <w:rPr>
          <w:sz w:val="24"/>
        </w:rPr>
        <w:t xml:space="preserve">ОБЩЕХОЗЯЙСТВЕННОГО НАЗНАЧЕНИЯ И ИМУЩЕСТВОМ ПРОДОВОЛЬСТВЕННОЙ</w:t>
      </w:r>
    </w:p>
    <w:p>
      <w:pPr>
        <w:pStyle w:val="2"/>
        <w:jc w:val="center"/>
      </w:pPr>
      <w:r>
        <w:rPr>
          <w:sz w:val="24"/>
        </w:rPr>
        <w:t xml:space="preserve">СЛУЖБЫ, УСТАНОВЛЕННЫЕ ПРИКАЗОМ МИНИСТРА ОБОРОНЫ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ОТ 16 ДЕКАБРЯ 2020 Г. N 686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Постановление Правительства РФ от 29.12.2007 N 946 (ред. от 16.05.2024) &quot;О продовольственном обеспечении военнослужащих и некоторых других категорий лиц, а также об обеспечении кормами (продуктами) штатных животных воинских частей и организаций в мирное время&quot; {КонсультантПлюс}">
        <w:r>
          <w:rPr>
            <w:sz w:val="24"/>
            <w:color w:val="0000ff"/>
          </w:rPr>
          <w:t xml:space="preserve">абзацем пятым подпункта "б" пункта 2</w:t>
        </w:r>
      </w:hyperlink>
      <w:r>
        <w:rPr>
          <w:sz w:val="24"/>
        </w:rPr>
        <w:t xml:space="preserve"> постановления Правительства Российской Федерации от 29 декабря 2007 г. N 946 "О продовольственном обеспечении военнослужащих и некоторых других категорий лиц, а также об обеспечении кормами (продуктами) штатных животных воинских частей и организаций в мирное время"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Внести изменения в </w:t>
      </w:r>
      <w:hyperlink w:history="0" r:id="rId9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Нормы</w:t>
        </w:r>
      </w:hyperlink>
      <w:r>
        <w:rPr>
          <w:sz w:val="24"/>
        </w:rPr>
        <w:t xml:space="preserve"> и </w:t>
      </w:r>
      <w:hyperlink w:history="0" r:id="rId10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службы, установленные приказом Министра обороны Российской Федерации от 16 декабря 2020 г. N 686 "Об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службы" (зарегистрирован Министерством юстиции Российской Федерации 26 марта 2021 г., регистрационный N 62879), с изменениями, внесенными приказами Министра обороны Российской Федерации от 1 сентября 2022 г. N 513 (зарегистрирован Министерством юстиции Российской Федерации 5 октября 2022 г., регистрационный N 70387) и от 3 ноября 2023 г. N 751 (зарегистрирован Министерством юстиции Российской Федерации 23 ноября 2023 г., регистрационный N 76069), согласно </w:t>
      </w:r>
      <w:hyperlink w:history="0" w:anchor="P32" w:tooltip="ПЕРЕЧЕНЬ">
        <w:r>
          <w:rPr>
            <w:sz w:val="24"/>
            <w:color w:val="0000ff"/>
          </w:rPr>
          <w:t xml:space="preserve">Перечню</w:t>
        </w:r>
      </w:hyperlink>
      <w:r>
        <w:rPr>
          <w:sz w:val="24"/>
        </w:rPr>
        <w:t xml:space="preserve"> (приложение к настоящему приказу).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 обороны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А.БЕЛОУСОВ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Министра обороны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24 июля 2025 г. N 466</w:t>
      </w:r>
    </w:p>
    <w:p>
      <w:pPr>
        <w:pStyle w:val="0"/>
        <w:jc w:val="both"/>
      </w:pPr>
      <w:r>
        <w:rPr>
          <w:sz w:val="24"/>
        </w:rPr>
      </w:r>
    </w:p>
    <w:bookmarkStart w:id="32" w:name="P32"/>
    <w:bookmarkEnd w:id="32"/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ИЗМЕНЕНИЙ, ВНОСИМЫХ В НОРМЫ И ПОРЯДОК ОБЕСПЕЧЕНИЯ ВОИНСКИХ</w:t>
      </w:r>
    </w:p>
    <w:p>
      <w:pPr>
        <w:pStyle w:val="2"/>
        <w:jc w:val="center"/>
      </w:pPr>
      <w:r>
        <w:rPr>
          <w:sz w:val="24"/>
        </w:rPr>
        <w:t xml:space="preserve">ЧАСТЕЙ И ОРГАНИЗАЦИЙ ВООРУЖЕННЫХ СИЛ РОССИЙСКОЙ ФЕДЕРАЦИИ</w:t>
      </w:r>
    </w:p>
    <w:p>
      <w:pPr>
        <w:pStyle w:val="2"/>
        <w:jc w:val="center"/>
      </w:pPr>
      <w:r>
        <w:rPr>
          <w:sz w:val="24"/>
        </w:rPr>
        <w:t xml:space="preserve">ТЕХНИКОЙ, ПРОДУКЦИЕЙ ОБЩЕХОЗЯЙСТВЕННОГО НАЗНАЧЕНИЯ</w:t>
      </w:r>
    </w:p>
    <w:p>
      <w:pPr>
        <w:pStyle w:val="2"/>
        <w:jc w:val="center"/>
      </w:pPr>
      <w:r>
        <w:rPr>
          <w:sz w:val="24"/>
        </w:rPr>
        <w:t xml:space="preserve">И ИМУЩЕСТВОМ ПРОДОВОЛЬСТВЕННОЙ СЛУЖБЫ, УСТАНОВЛЕННЫЕ</w:t>
      </w:r>
    </w:p>
    <w:p>
      <w:pPr>
        <w:pStyle w:val="2"/>
        <w:jc w:val="center"/>
      </w:pPr>
      <w:r>
        <w:rPr>
          <w:sz w:val="24"/>
        </w:rPr>
        <w:t xml:space="preserve">ПРИКАЗОМ МИНИСТРА ОБОРОНЫ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16 ДЕКАБРЯ 2020 Г. N 686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</w:t>
      </w:r>
      <w:hyperlink w:history="0" r:id="rId11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Нормах</w:t>
        </w:r>
      </w:hyperlink>
      <w:r>
        <w:rPr>
          <w:sz w:val="24"/>
        </w:rPr>
        <w:t xml:space="preserve"> обеспечения воинских частей и организаций Вооруженных Сил Российской Федерации продукцией общехозяйственного назначения и имуществом продовольственной службы (приложение N 1 к приказу):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</w:t>
      </w:r>
      <w:hyperlink w:history="0" r:id="rId12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норме N 1</w:t>
        </w:r>
      </w:hyperlink>
      <w:r>
        <w:rPr>
          <w:sz w:val="24"/>
        </w:rPr>
        <w:t xml:space="preserve"> обеспечения столово-кухонной посудой, оборудованием и инвентарем солдатских (матросских) столовых воинских частей дополнить пунктом 90(1) следующего содержания: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80"/>
        <w:gridCol w:w="2381"/>
        <w:gridCol w:w="4872"/>
        <w:gridCol w:w="1134"/>
      </w:tblGrid>
      <w:tr>
        <w:tc>
          <w:tcPr>
            <w:tcW w:w="680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"90(1)</w:t>
            </w:r>
          </w:p>
        </w:tc>
        <w:tc>
          <w:tcPr>
            <w:tcW w:w="2381" w:type="dxa"/>
            <w:tcBorders>
              <w:top w:val="nil"/>
              <w:bottom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Полка (подставка) для досок разделочных</w:t>
            </w:r>
          </w:p>
        </w:tc>
        <w:tc>
          <w:tcPr>
            <w:tcW w:w="4872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 одной на каждое производственное помещение столовой</w:t>
            </w:r>
          </w:p>
        </w:tc>
        <w:tc>
          <w:tcPr>
            <w:tcW w:w="1134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4";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2) в </w:t>
      </w:r>
      <w:hyperlink w:history="0" r:id="rId13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норме N 2</w:t>
        </w:r>
      </w:hyperlink>
      <w:r>
        <w:rPr>
          <w:sz w:val="24"/>
        </w:rPr>
        <w:t xml:space="preserve"> обеспечения столово-кухонной посудой, оборудованием и инвентарем камбузов надводных, подводных кораблей и судов обеспечения Военно-Морского Флота дополнить пунктом 61(1) следующего содержания:</w:t>
      </w:r>
    </w:p>
    <w:p>
      <w:pPr>
        <w:pStyle w:val="0"/>
        <w:jc w:val="both"/>
      </w:pPr>
      <w:r>
        <w:rPr>
          <w:sz w:val="24"/>
        </w:rPr>
      </w:r>
    </w:p>
    <w:p>
      <w:pPr>
        <w:sectPr>
          <w:headerReference w:type="default" r:id="rId6"/>
          <w:headerReference w:type="first" r:id="rId6"/>
          <w:footerReference w:type="default" r:id="rId7"/>
          <w:footerReference w:type="first" r:id="rId7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10"/>
        <w:gridCol w:w="2665"/>
        <w:gridCol w:w="5625"/>
        <w:gridCol w:w="1191"/>
        <w:gridCol w:w="1304"/>
        <w:gridCol w:w="1020"/>
      </w:tblGrid>
      <w:tr>
        <w:tc>
          <w:tcPr>
            <w:tcW w:w="510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"61(1)</w:t>
            </w:r>
          </w:p>
        </w:tc>
        <w:tc>
          <w:tcPr>
            <w:tcW w:w="2665" w:type="dxa"/>
            <w:tcBorders>
              <w:top w:val="nil"/>
              <w:bottom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Полка (подставка) для досок разделочных</w:t>
            </w:r>
          </w:p>
        </w:tc>
        <w:tc>
          <w:tcPr>
            <w:tcW w:w="5625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 одной на каждое производственное помещение столовой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камбуз</w:t>
            </w:r>
          </w:p>
        </w:tc>
        <w:tc>
          <w:tcPr>
            <w:tcW w:w="1020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4";</w:t>
            </w:r>
          </w:p>
        </w:tc>
      </w:tr>
    </w:tbl>
    <w:p>
      <w:pPr>
        <w:sectPr>
          <w:headerReference w:type="default" r:id="rId14"/>
          <w:headerReference w:type="first" r:id="rId14"/>
          <w:footerReference w:type="default" r:id="rId15"/>
          <w:footerReference w:type="first" r:id="rId15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3) в </w:t>
      </w:r>
      <w:hyperlink w:history="0" r:id="rId16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норме N 3</w:t>
        </w:r>
      </w:hyperlink>
      <w:r>
        <w:rPr>
          <w:sz w:val="24"/>
        </w:rPr>
        <w:t xml:space="preserve"> обеспечения столово-кухонной посудой, оборудованием и инвентарем офицерских столовых, столовых дежурных (дежурных технических) смен (сил) и столовых летного и инженерно-технического состава авиации, машин обеспечения боевого дежурства, профилакториев летного состава дополнить пунктом 60(1) следующего содержания: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2891"/>
        <w:gridCol w:w="4308"/>
        <w:gridCol w:w="1304"/>
      </w:tblGrid>
      <w:tr>
        <w:tc>
          <w:tcPr>
            <w:tcW w:w="567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"60(1)</w:t>
            </w:r>
          </w:p>
        </w:tc>
        <w:tc>
          <w:tcPr>
            <w:tcW w:w="2891" w:type="dxa"/>
            <w:tcBorders>
              <w:top w:val="nil"/>
              <w:bottom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Полка (подставка) для досок разделочных</w:t>
            </w:r>
          </w:p>
        </w:tc>
        <w:tc>
          <w:tcPr>
            <w:tcW w:w="430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 одной на каждое производственное помещение столовой</w:t>
            </w:r>
          </w:p>
        </w:tc>
        <w:tc>
          <w:tcPr>
            <w:tcW w:w="1304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4";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4) в </w:t>
      </w:r>
      <w:hyperlink w:history="0" r:id="rId17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норме N 4</w:t>
        </w:r>
      </w:hyperlink>
      <w:r>
        <w:rPr>
          <w:sz w:val="24"/>
        </w:rPr>
        <w:t xml:space="preserve"> обеспечения столово-кухонной посудой, оборудованием и инвентарем столовых образовательных организаций высшего образования Министерства обороны Российской Федерации, курсов по подготовке офицеров, школ прапорщиков и мичманов, оздоровительных лагерей Министерства обороны Российской Федерации, общеобразовательных организаций и школ-интернатов, находящихся в ведении Министерства обороны Российской Федерации, дополнить пунктом 63(1) следующего содержания: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80"/>
        <w:gridCol w:w="2381"/>
        <w:gridCol w:w="4872"/>
        <w:gridCol w:w="1134"/>
      </w:tblGrid>
      <w:tr>
        <w:tc>
          <w:tcPr>
            <w:tcW w:w="680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"63(1)</w:t>
            </w:r>
          </w:p>
        </w:tc>
        <w:tc>
          <w:tcPr>
            <w:tcW w:w="2381" w:type="dxa"/>
            <w:tcBorders>
              <w:top w:val="nil"/>
              <w:bottom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Полка (подставка) для досок разделочных</w:t>
            </w:r>
          </w:p>
        </w:tc>
        <w:tc>
          <w:tcPr>
            <w:tcW w:w="4872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 одной на каждое производственное помещение столовой</w:t>
            </w:r>
          </w:p>
        </w:tc>
        <w:tc>
          <w:tcPr>
            <w:tcW w:w="1134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4";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5) в </w:t>
      </w:r>
      <w:hyperlink w:history="0" r:id="rId18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норме N 5</w:t>
        </w:r>
      </w:hyperlink>
      <w:r>
        <w:rPr>
          <w:sz w:val="24"/>
        </w:rPr>
        <w:t xml:space="preserve"> обеспечения столово-кухонной посудой, оборудованием и инвентарем военных санаториев, домов отдыха, пансионатов, санаторно-курортных комплексов, центров активного отдыха и реабилитационных центров, военных (военно-морских) клинических госпиталей, военно-морских лазаретов, отдельных медицинских батальонов (рот, отрядов), медицинских пунктов с лазаретами и корабельных лазаретов: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19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пункте 40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20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графе 5</w:t>
        </w:r>
      </w:hyperlink>
      <w:r>
        <w:rPr>
          <w:sz w:val="24"/>
        </w:rPr>
        <w:t xml:space="preserve"> знак "-" заменить цифрой "2";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21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графе 6</w:t>
        </w:r>
      </w:hyperlink>
      <w:r>
        <w:rPr>
          <w:sz w:val="24"/>
        </w:rPr>
        <w:t xml:space="preserve"> знак "-" заменить словами "на палату";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22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пункте 41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23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графе 5</w:t>
        </w:r>
      </w:hyperlink>
      <w:r>
        <w:rPr>
          <w:sz w:val="24"/>
        </w:rPr>
        <w:t xml:space="preserve"> знак "-" заменить цифрой "1";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24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графе 6</w:t>
        </w:r>
      </w:hyperlink>
      <w:r>
        <w:rPr>
          <w:sz w:val="24"/>
        </w:rPr>
        <w:t xml:space="preserve"> знак "-" заменить словами "на палату";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</w:t>
      </w:r>
      <w:hyperlink w:history="0" r:id="rId25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80(1) следующего содержания: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10"/>
        <w:gridCol w:w="3174"/>
        <w:gridCol w:w="4248"/>
        <w:gridCol w:w="1133"/>
      </w:tblGrid>
      <w:tr>
        <w:tc>
          <w:tcPr>
            <w:tcW w:w="510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"80(1)</w:t>
            </w:r>
          </w:p>
        </w:tc>
        <w:tc>
          <w:tcPr>
            <w:tcW w:w="3174" w:type="dxa"/>
            <w:tcBorders>
              <w:top w:val="nil"/>
              <w:bottom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Полка (подставка) для досок разделочных</w:t>
            </w:r>
          </w:p>
        </w:tc>
        <w:tc>
          <w:tcPr>
            <w:tcW w:w="424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 одной на каждое производственное помещение столовой</w:t>
            </w:r>
          </w:p>
        </w:tc>
        <w:tc>
          <w:tcPr>
            <w:tcW w:w="1133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4";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6) </w:t>
      </w:r>
      <w:hyperlink w:history="0" r:id="rId26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пункт 27</w:t>
        </w:r>
      </w:hyperlink>
      <w:r>
        <w:rPr>
          <w:sz w:val="24"/>
        </w:rPr>
        <w:t xml:space="preserve"> нормы N 8 обеспечения столово-кухонной посудой, оборудованием и инвентарем гарнизонных (лагерных) и внутренних (корабельных) караулов (дежурных смен охраны и обороны) изложить в следующей редакции: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10"/>
        <w:gridCol w:w="5725"/>
        <w:gridCol w:w="1416"/>
        <w:gridCol w:w="1416"/>
      </w:tblGrid>
      <w:tr>
        <w:tc>
          <w:tcPr>
            <w:tcW w:w="510" w:type="dxa"/>
            <w:tcBorders>
              <w:top w:val="nil"/>
              <w:left w:val="nil"/>
              <w:bottom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"27</w:t>
            </w:r>
          </w:p>
        </w:tc>
        <w:tc>
          <w:tcPr>
            <w:tcW w:w="5725" w:type="dxa"/>
            <w:tcBorders>
              <w:top w:val="nil"/>
              <w:bottom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Плита электрическая (газовая) 1- или 2-конфорочная</w:t>
            </w:r>
          </w:p>
        </w:tc>
        <w:tc>
          <w:tcPr>
            <w:tcW w:w="1416" w:type="dxa"/>
            <w:tcBorders>
              <w:top w:val="nil"/>
              <w:bottom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416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</w:tr>
      <w:tr>
        <w:tc>
          <w:tcPr>
            <w:tcBorders>
              <w:top w:val="nil"/>
              <w:left w:val="nil"/>
              <w:bottom w:val="nil"/>
            </w:tcBorders>
            <w:vMerge w:val="continue"/>
          </w:tcPr>
          <w:p/>
        </w:tc>
        <w:tc>
          <w:tcPr>
            <w:tcW w:w="5725" w:type="dxa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или панель варочная</w:t>
            </w:r>
          </w:p>
        </w:tc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16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4";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7) в </w:t>
      </w:r>
      <w:hyperlink w:history="0" r:id="rId27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норме N 11</w:t>
        </w:r>
      </w:hyperlink>
      <w:r>
        <w:rPr>
          <w:sz w:val="24"/>
        </w:rPr>
        <w:t xml:space="preserve"> обеспечения оборудованием и инвентарем центров материально-технического обеспечения и производственно-логистических комплексов военного округа (флота), продовольственных складов бригад материально-технического обеспечения, продовольственных складов и раздаточных кладовых воинских частей: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28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графе 2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29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пункте 12(1)</w:t>
        </w:r>
      </w:hyperlink>
      <w:r>
        <w:rPr>
          <w:sz w:val="24"/>
        </w:rPr>
        <w:t xml:space="preserve"> цифры "1,5" заменить цифрой "3";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30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пункте 12(2)</w:t>
        </w:r>
      </w:hyperlink>
      <w:r>
        <w:rPr>
          <w:sz w:val="24"/>
        </w:rPr>
        <w:t xml:space="preserve"> цифру "2" заменить цифрой "3";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31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пункте 12(3)</w:t>
        </w:r>
      </w:hyperlink>
      <w:r>
        <w:rPr>
          <w:sz w:val="24"/>
        </w:rPr>
        <w:t xml:space="preserve"> цифру "3" заменить цифрой "5";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32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пункте 12(4)</w:t>
        </w:r>
      </w:hyperlink>
      <w:r>
        <w:rPr>
          <w:sz w:val="24"/>
        </w:rPr>
        <w:t xml:space="preserve"> цифру "2" заменить цифрой "3";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33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12(6) следующего содержания: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6"/>
        <w:gridCol w:w="2381"/>
        <w:gridCol w:w="1417"/>
        <w:gridCol w:w="1417"/>
        <w:gridCol w:w="754"/>
        <w:gridCol w:w="754"/>
        <w:gridCol w:w="756"/>
        <w:gridCol w:w="1020"/>
      </w:tblGrid>
      <w:tr>
        <w:tc>
          <w:tcPr>
            <w:tcW w:w="566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"12(6)</w:t>
            </w:r>
          </w:p>
        </w:tc>
        <w:tc>
          <w:tcPr>
            <w:tcW w:w="2381" w:type="dxa"/>
            <w:tcBorders>
              <w:top w:val="nil"/>
              <w:bottom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Пила для резки мяса электрическая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75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75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756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020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6";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8) </w:t>
      </w:r>
      <w:hyperlink w:history="0" r:id="rId34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норму N 12</w:t>
        </w:r>
      </w:hyperlink>
      <w:r>
        <w:rPr>
          <w:sz w:val="24"/>
        </w:rPr>
        <w:t xml:space="preserve"> обеспечения столовых воинских частей и организаций моющими средствами для мытья столово-кухонной посуды, оборудования и инвентаря изложить в следующей редакции: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"НОРМА N 12</w:t>
      </w:r>
    </w:p>
    <w:p>
      <w:pPr>
        <w:pStyle w:val="0"/>
        <w:jc w:val="center"/>
      </w:pPr>
      <w:r>
        <w:rPr>
          <w:sz w:val="24"/>
        </w:rPr>
        <w:t xml:space="preserve">обеспечения столовых воинских частей и организаций моющими</w:t>
      </w:r>
    </w:p>
    <w:p>
      <w:pPr>
        <w:pStyle w:val="0"/>
        <w:jc w:val="center"/>
      </w:pPr>
      <w:r>
        <w:rPr>
          <w:sz w:val="24"/>
        </w:rPr>
        <w:t xml:space="preserve">средствами для мытья столово-кухонной посуды, оборудования</w:t>
      </w:r>
    </w:p>
    <w:p>
      <w:pPr>
        <w:pStyle w:val="0"/>
        <w:jc w:val="center"/>
      </w:pPr>
      <w:r>
        <w:rPr>
          <w:sz w:val="24"/>
        </w:rPr>
        <w:t xml:space="preserve">и инвентаря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10"/>
        <w:gridCol w:w="3968"/>
        <w:gridCol w:w="1247"/>
        <w:gridCol w:w="1133"/>
        <w:gridCol w:w="1020"/>
        <w:gridCol w:w="1190"/>
      </w:tblGrid>
      <w:tr>
        <w:tc>
          <w:tcPr>
            <w:tcW w:w="51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3968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Вид моющих средств</w:t>
            </w:r>
          </w:p>
        </w:tc>
        <w:tc>
          <w:tcPr>
            <w:gridSpan w:val="4"/>
            <w:tcW w:w="45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100 человек питающихся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 машинной мойке в сутки</w:t>
            </w:r>
          </w:p>
        </w:tc>
        <w:tc>
          <w:tcPr>
            <w:tcW w:w="113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 ручной мойке в сутки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 чистке посуды в месяц</w:t>
            </w:r>
          </w:p>
        </w:tc>
        <w:tc>
          <w:tcPr>
            <w:tcW w:w="1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 чистке пароконвектомата в месяц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396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13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1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</w:tr>
      <w:tr>
        <w:tc>
          <w:tcPr>
            <w:tcW w:w="51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3968" w:type="dxa"/>
            <w:tcBorders>
              <w:bottom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Средство моющее порошкообразное, г</w:t>
            </w:r>
          </w:p>
        </w:tc>
        <w:tc>
          <w:tcPr>
            <w:tcW w:w="1247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360</w:t>
            </w:r>
          </w:p>
        </w:tc>
        <w:tc>
          <w:tcPr>
            <w:tcW w:w="1133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810</w:t>
            </w:r>
          </w:p>
        </w:tc>
        <w:tc>
          <w:tcPr>
            <w:tcW w:w="10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19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vMerge w:val="continue"/>
          </w:tcPr>
          <w:p/>
        </w:tc>
        <w:tc>
          <w:tcPr>
            <w:tcW w:w="3968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или средство моющее жидкое, мл</w:t>
            </w:r>
          </w:p>
        </w:tc>
        <w:tc>
          <w:tcPr>
            <w:tcW w:w="1247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180</w:t>
            </w:r>
          </w:p>
        </w:tc>
        <w:tc>
          <w:tcPr>
            <w:tcW w:w="1133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540</w:t>
            </w:r>
          </w:p>
        </w:tc>
        <w:tc>
          <w:tcPr>
            <w:tcW w:w="1020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190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3968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Средство чистящее, г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13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5250</w:t>
            </w:r>
          </w:p>
        </w:tc>
        <w:tc>
          <w:tcPr>
            <w:tcW w:w="1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3968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Средство моющее для пароконвектомата, таблеток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13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3968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Ополаскиватель для пароконвектомата, таблеток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13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3968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Средство моющее для машины посудомоечной малогабаритной (бытовой), таблеток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</w:t>
            </w:r>
          </w:p>
        </w:tc>
        <w:tc>
          <w:tcPr>
            <w:tcW w:w="113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gridSpan w:val="6"/>
            <w:tcW w:w="906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 организации питания в полевых условиях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3968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Средство моющее для машины посудомоечной малогабаритной (бытовой), таблеток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</w:t>
            </w:r>
          </w:p>
        </w:tc>
        <w:tc>
          <w:tcPr>
            <w:tcW w:w="113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1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3968" w:type="dxa"/>
            <w:tcBorders>
              <w:bottom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Средство моющее порошкообразное, г</w:t>
            </w:r>
          </w:p>
        </w:tc>
        <w:tc>
          <w:tcPr>
            <w:tcW w:w="1247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133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1215</w:t>
            </w:r>
          </w:p>
        </w:tc>
        <w:tc>
          <w:tcPr>
            <w:tcW w:w="10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19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vMerge w:val="continue"/>
          </w:tcPr>
          <w:p/>
        </w:tc>
        <w:tc>
          <w:tcPr>
            <w:tcW w:w="3968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или средство моющее жидкое, мл</w:t>
            </w:r>
          </w:p>
        </w:tc>
        <w:tc>
          <w:tcPr>
            <w:tcW w:w="1247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133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810</w:t>
            </w:r>
          </w:p>
        </w:tc>
        <w:tc>
          <w:tcPr>
            <w:tcW w:w="1020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190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3968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Средство чистящее, г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13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7875</w:t>
            </w:r>
          </w:p>
        </w:tc>
        <w:tc>
          <w:tcPr>
            <w:tcW w:w="1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gridSpan w:val="6"/>
            <w:tcW w:w="906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 обеспечении кораблей (судов), воинских эшелонов и караулов по охране, обороне и сопровождению воинских грузов</w:t>
            </w:r>
          </w:p>
        </w:tc>
      </w:tr>
      <w:tr>
        <w:tc>
          <w:tcPr>
            <w:tcW w:w="51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3968" w:type="dxa"/>
            <w:tcBorders>
              <w:bottom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Средство моющее порошкообразное, г</w:t>
            </w:r>
          </w:p>
        </w:tc>
        <w:tc>
          <w:tcPr>
            <w:tcW w:w="1247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468</w:t>
            </w:r>
          </w:p>
        </w:tc>
        <w:tc>
          <w:tcPr>
            <w:tcW w:w="1133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1053</w:t>
            </w:r>
          </w:p>
        </w:tc>
        <w:tc>
          <w:tcPr>
            <w:tcW w:w="10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19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vMerge w:val="continue"/>
          </w:tcPr>
          <w:p/>
        </w:tc>
        <w:tc>
          <w:tcPr>
            <w:tcW w:w="3968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или средство моющее жидкое, мл</w:t>
            </w:r>
          </w:p>
        </w:tc>
        <w:tc>
          <w:tcPr>
            <w:tcW w:w="1247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234</w:t>
            </w:r>
          </w:p>
        </w:tc>
        <w:tc>
          <w:tcPr>
            <w:tcW w:w="1133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702</w:t>
            </w:r>
          </w:p>
        </w:tc>
        <w:tc>
          <w:tcPr>
            <w:tcW w:w="1020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190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3968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Средство чистящее, г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13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5250</w:t>
            </w:r>
          </w:p>
        </w:tc>
        <w:tc>
          <w:tcPr>
            <w:tcW w:w="1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gridSpan w:val="6"/>
            <w:tcW w:w="906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Для обеспечения палат больных военных госпиталей</w:t>
            </w:r>
          </w:p>
        </w:tc>
      </w:tr>
      <w:tr>
        <w:tc>
          <w:tcPr>
            <w:tcW w:w="51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3968" w:type="dxa"/>
            <w:tcBorders>
              <w:bottom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Средство моющее порошкообразное, г</w:t>
            </w:r>
          </w:p>
        </w:tc>
        <w:tc>
          <w:tcPr>
            <w:tcW w:w="1247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133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405</w:t>
            </w:r>
          </w:p>
        </w:tc>
        <w:tc>
          <w:tcPr>
            <w:tcW w:w="10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19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tcW w:w="3968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или средство моющее жидкое, мл</w:t>
            </w:r>
          </w:p>
        </w:tc>
        <w:tc>
          <w:tcPr>
            <w:tcW w:w="1247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133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270</w:t>
            </w:r>
          </w:p>
        </w:tc>
        <w:tc>
          <w:tcPr>
            <w:tcW w:w="1020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190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</w:tbl>
    <w:p>
      <w:pPr>
        <w:pStyle w:val="0"/>
        <w:jc w:val="right"/>
      </w:pPr>
      <w:r>
        <w:rPr>
          <w:sz w:val="24"/>
        </w:rPr>
        <w:t xml:space="preserve">";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9) </w:t>
      </w:r>
      <w:hyperlink w:history="0" r:id="rId35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пункт 3</w:t>
        </w:r>
      </w:hyperlink>
      <w:r>
        <w:rPr>
          <w:sz w:val="24"/>
        </w:rPr>
        <w:t xml:space="preserve"> нормы N 13 обеспечения флягами, котелками, чехлами к ним, ложками и кружками изложить в следующей редакции: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5669"/>
        <w:gridCol w:w="1361"/>
        <w:gridCol w:w="1417"/>
      </w:tblGrid>
      <w:tr>
        <w:tc>
          <w:tcPr>
            <w:tcW w:w="624" w:type="dxa"/>
            <w:tcBorders>
              <w:top w:val="nil"/>
              <w:left w:val="nil"/>
              <w:bottom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"3</w:t>
            </w:r>
          </w:p>
        </w:tc>
        <w:tc>
          <w:tcPr>
            <w:tcW w:w="5669" w:type="dxa"/>
            <w:tcBorders>
              <w:top w:val="nil"/>
              <w:bottom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Котелок металлический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417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</w:tr>
      <w:tr>
        <w:tc>
          <w:tcPr>
            <w:tcBorders>
              <w:top w:val="nil"/>
              <w:left w:val="nil"/>
              <w:bottom w:val="nil"/>
            </w:tcBorders>
            <w:vMerge w:val="continue"/>
          </w:tcPr>
          <w:p/>
        </w:tc>
        <w:tc>
          <w:tcPr>
            <w:tcW w:w="5669" w:type="dxa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или поднос секционный из нержавеющей стали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17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5".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 В </w:t>
      </w:r>
      <w:hyperlink w:history="0" r:id="rId36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Порядке</w:t>
        </w:r>
      </w:hyperlink>
      <w:r>
        <w:rPr>
          <w:sz w:val="24"/>
        </w:rPr>
        <w:t xml:space="preserve">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 (приложение N 2 к приказу):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</w:t>
      </w:r>
      <w:hyperlink w:history="0" r:id="rId37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38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подпункте 1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39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абзаце втором</w:t>
        </w:r>
      </w:hyperlink>
      <w:r>
        <w:rPr>
          <w:sz w:val="24"/>
        </w:rPr>
        <w:t xml:space="preserve"> после слова "печи" дополнить словом ", дегидраторы";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40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абзаце третьем</w:t>
        </w:r>
      </w:hyperlink>
      <w:r>
        <w:rPr>
          <w:sz w:val="24"/>
        </w:rPr>
        <w:t xml:space="preserve"> после слов "просеивательные машины для муки" дополнить словами ", упаковщики вакуумные";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41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подпункте 7</w:t>
        </w:r>
      </w:hyperlink>
      <w:r>
        <w:rPr>
          <w:sz w:val="24"/>
        </w:rPr>
        <w:t xml:space="preserve"> после слова "дозаторы" дополнить словами ", оборудование для мытья котелков";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 </w:t>
      </w:r>
      <w:hyperlink w:history="0" r:id="rId42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подпункте 11</w:t>
        </w:r>
      </w:hyperlink>
      <w:r>
        <w:rPr>
          <w:sz w:val="24"/>
        </w:rPr>
        <w:t xml:space="preserve"> после слова "скатерти," дополнить словами "полотно скатертное,";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в </w:t>
      </w:r>
      <w:hyperlink w:history="0" r:id="rId43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абзаце пятом пункта 16</w:t>
        </w:r>
      </w:hyperlink>
      <w:r>
        <w:rPr>
          <w:sz w:val="24"/>
        </w:rPr>
        <w:t xml:space="preserve"> после слов "20 л - 2 штуки на 8 человек" дополнить словами "; 40 - 60 л - 2 штуки на 30 человек";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</w:t>
      </w:r>
      <w:hyperlink w:history="0" r:id="rId44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абзац второй пункта 24</w:t>
        </w:r>
      </w:hyperlink>
      <w:r>
        <w:rPr>
          <w:sz w:val="24"/>
        </w:rPr>
        <w:t xml:space="preserve"> дополнить предложением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"Дополнительно выдается салфетка бумажная - 1 штука на 1 человека на один прием пищи.";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</w:t>
      </w:r>
      <w:hyperlink w:history="0" r:id="rId45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пункт 25</w:t>
        </w:r>
      </w:hyperlink>
      <w:r>
        <w:rPr>
          <w:sz w:val="24"/>
        </w:rPr>
        <w:t xml:space="preserve"> дополнить абзацем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"Больным с челюстно-лицевыми травмами на этапах нахождения в отдельных медицинских батальонах (ротах, отрядах), медицинских пунктах с лазаретами выдается трубочка одноразовая для питания - 1 штука на один прием пищи.";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</w:t>
      </w:r>
      <w:hyperlink w:history="0" r:id="rId46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пункт 30</w:t>
        </w:r>
      </w:hyperlink>
      <w:r>
        <w:rPr>
          <w:sz w:val="24"/>
        </w:rPr>
        <w:t xml:space="preserve"> дополнить абзацем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"Кроме того, для выполнения погрузочно-разгрузочных работ на транспортных самолетах войсковая часть 42829 обеспечивается погрузчиком автомобильным дизельным или электрическим грузоподъемностью до 3 т.";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6) в </w:t>
      </w:r>
      <w:hyperlink w:history="0" r:id="rId47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пункте 31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48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абзаце первом</w:t>
        </w:r>
      </w:hyperlink>
      <w:r>
        <w:rPr>
          <w:sz w:val="24"/>
        </w:rPr>
        <w:t xml:space="preserve"> после слов "также обеспечиваются" дополнить словами "караулы военизированной охраны,";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49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абзаце втором</w:t>
        </w:r>
      </w:hyperlink>
      <w:r>
        <w:rPr>
          <w:sz w:val="24"/>
        </w:rPr>
        <w:t xml:space="preserve"> после слов "тара для продуктов с крышкой - 2" дополнить словами "; машина посудомоечная малогабаритная (бытовая) - 1; стол производственный - 2; стеллаж для хранения продуктов - 2. Сроки эксплуатации печи хлебопекарной малогабаритной (бытовой) - 4 года, машины посудомоечной малогабаритной (бытовой) - 6 лет";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 </w:t>
      </w:r>
      <w:hyperlink w:history="0" r:id="rId50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абзаце пятом</w:t>
        </w:r>
      </w:hyperlink>
      <w:r>
        <w:rPr>
          <w:sz w:val="24"/>
        </w:rPr>
        <w:t xml:space="preserve"> после слов "чайник электрический - 1;" дополнить словами "кофемашина - 1;";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</w:t>
      </w:r>
      <w:hyperlink w:history="0" r:id="rId51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абзац седьмой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"Взамен плиты электрической 1- или 2-конфорочной разрешается выдавать кухонный набор или плиту 2- или 4-конфорочную газовую с баллоном газовым емкостью до 50 л (емкостью для жидкого топлива).";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</w:t>
      </w:r>
      <w:hyperlink w:history="0" r:id="rId52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абзацами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"По решению начальника продовольственной службы военного округа (флота) по заявкам воинских частей в тыловых и базовых районах размещения подразделений на каждые 50 питающихся выдаются, штук: автоклав до 150 л - 1; дегидратор на 10 - 20 поддонов - 1; упаковщик вакуумный мощностью до 80 кПа - 1. Сроки эксплуатации автоклава - 6 лет, дегидратора - 5 лет, упаковщика вакуумного - 5 лет.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Расход упаковочного материала на 1 человека в сутки установить из расчета: для приготовления и упаковки первых и вторых блюд - 4 пакета; для упаковки порционных продуктов, не требующих приготовления, - 8 пакетов.";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7) </w:t>
      </w:r>
      <w:hyperlink w:history="0" r:id="rId53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пункт 33</w:t>
        </w:r>
      </w:hyperlink>
      <w:r>
        <w:rPr>
          <w:sz w:val="24"/>
        </w:rPr>
        <w:t xml:space="preserve"> дополнить абзацем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"Кроме того, по норме N 10 по решению начальника продовольственной службы военного округа (флота) обеспечиваются военно-санитарные поезда.";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8) в </w:t>
      </w:r>
      <w:hyperlink w:history="0" r:id="rId54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пункте 34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55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абзаце пятом</w:t>
        </w:r>
      </w:hyperlink>
      <w:r>
        <w:rPr>
          <w:sz w:val="24"/>
        </w:rPr>
        <w:t xml:space="preserve"> после слов "Погрузчиками автомобильными" дополнить словами "дизельными 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56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абзацем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"Кроме того, по норме N 11 по решению начальника продовольственной службы военного округа (флота) обеспечиваются продовольственные склады взводных опорных пунктов, тыловых и базовых районов воинских частей.";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9) в </w:t>
      </w:r>
      <w:hyperlink w:history="0" r:id="rId57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пункте 36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58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абзаце третьем</w:t>
        </w:r>
      </w:hyperlink>
      <w:r>
        <w:rPr>
          <w:sz w:val="24"/>
        </w:rPr>
        <w:t xml:space="preserve"> слова "для хранения в вещевых мешках (рюкзаках рейдовых, баулах)"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59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абзаце пятом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после слов "в полевых условиях выдаются:" дополнить словами "оборудование для мытья котелков из расчета - 1 раздаточный кран на 12 человек;";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после слов "Сроки эксплуатации" дополнить словами "оборудования для мытья котелков - 4 года,";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 </w:t>
      </w:r>
      <w:hyperlink w:history="0" r:id="rId60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абзаце шестом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слова "набор кухонный походный - 1 комплект на 4 человека; фляга специальная (гидратор) - 1 штука на 1 человека" заменить словами "набор кухонный походный - 1 комплект на 8 - 12 человек; фляга специальная (гидратор) - 1 штука на 1 человека или термос (термокружка) емкостью до 1 л - 1 штука на 1 человека";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после слов "набора кухонного походного - 2 года" дополнить словами ", термоса (термокружки) емкостью до 1 л - 2 года";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10) </w:t>
      </w:r>
      <w:hyperlink w:history="0" r:id="rId61" w:tooltip="Приказ Министра обороны РФ от 16.12.2020 N 686 (ред. от 03.11.2023) &quot;Об установлении Норм и Порядка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&quot; (Зарегистрировано в Минюсте России 26.03.2021 N 62879) {КонсультантПлюс}">
        <w:r>
          <w:rPr>
            <w:sz w:val="24"/>
            <w:color w:val="0000ff"/>
          </w:rPr>
          <w:t xml:space="preserve">пункт 39</w:t>
        </w:r>
      </w:hyperlink>
      <w:r>
        <w:rPr>
          <w:sz w:val="24"/>
        </w:rPr>
        <w:t xml:space="preserve"> дополнить абзацем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"В дошкольных образовательных организациях на группу дополнительно выдается ванна производственная 2-секционная - 1 штука или машина посудомоечная малогабаритная (бытовая) - 1 штука.".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Министра обороны РФ от 24.07.2025 N 466</w:t>
            <w:br/>
            <w:t>"О внесении изменений в Нормы и Порядок обеспечения воинских частей и орг...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Министра обороны РФ от 24.07.2025 N 466</w:t>
            <w:br/>
            <w:t>"О внесении изменений в Нормы и Порядок обеспечения воинских частей и орг...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76697&amp;date=29.08.2025&amp;dst=100017&amp;field=134&amp;demo=2" TargetMode = "External"/><Relationship Id="rId9" Type="http://schemas.openxmlformats.org/officeDocument/2006/relationships/hyperlink" Target="https://login.consultant.ru/link/?req=doc&amp;base=LAW&amp;n=462834&amp;date=29.08.2025&amp;dst=100014&amp;field=134&amp;demo=2" TargetMode = "External"/><Relationship Id="rId10" Type="http://schemas.openxmlformats.org/officeDocument/2006/relationships/hyperlink" Target="https://login.consultant.ru/link/?req=doc&amp;base=LAW&amp;n=462834&amp;date=29.08.2025&amp;dst=111196&amp;field=134&amp;demo=2" TargetMode = "External"/><Relationship Id="rId11" Type="http://schemas.openxmlformats.org/officeDocument/2006/relationships/hyperlink" Target="https://login.consultant.ru/link/?req=doc&amp;base=LAW&amp;n=462834&amp;date=29.08.2025&amp;dst=100014&amp;field=134&amp;demo=2" TargetMode = "External"/><Relationship Id="rId12" Type="http://schemas.openxmlformats.org/officeDocument/2006/relationships/hyperlink" Target="https://login.consultant.ru/link/?req=doc&amp;base=LAW&amp;n=462834&amp;date=29.08.2025&amp;dst=100015&amp;field=134&amp;demo=2" TargetMode = "External"/><Relationship Id="rId13" Type="http://schemas.openxmlformats.org/officeDocument/2006/relationships/hyperlink" Target="https://login.consultant.ru/link/?req=doc&amp;base=LAW&amp;n=462834&amp;date=29.08.2025&amp;dst=101364&amp;field=134&amp;demo=2" TargetMode = "External"/><Relationship Id="rId14" Type="http://schemas.openxmlformats.org/officeDocument/2006/relationships/header" Target="header2.xml"/><Relationship Id="rId15" Type="http://schemas.openxmlformats.org/officeDocument/2006/relationships/footer" Target="footer2.xml"/><Relationship Id="rId16" Type="http://schemas.openxmlformats.org/officeDocument/2006/relationships/hyperlink" Target="https://login.consultant.ru/link/?req=doc&amp;base=LAW&amp;n=462834&amp;date=29.08.2025&amp;dst=102399&amp;field=134&amp;demo=2" TargetMode = "External"/><Relationship Id="rId17" Type="http://schemas.openxmlformats.org/officeDocument/2006/relationships/hyperlink" Target="https://login.consultant.ru/link/?req=doc&amp;base=LAW&amp;n=462834&amp;date=29.08.2025&amp;dst=103314&amp;field=134&amp;demo=2" TargetMode = "External"/><Relationship Id="rId18" Type="http://schemas.openxmlformats.org/officeDocument/2006/relationships/hyperlink" Target="https://login.consultant.ru/link/?req=doc&amp;base=LAW&amp;n=462834&amp;date=29.08.2025&amp;dst=104702&amp;field=134&amp;demo=2" TargetMode = "External"/><Relationship Id="rId19" Type="http://schemas.openxmlformats.org/officeDocument/2006/relationships/hyperlink" Target="https://login.consultant.ru/link/?req=doc&amp;base=LAW&amp;n=462834&amp;date=29.08.2025&amp;dst=105005&amp;field=134&amp;demo=2" TargetMode = "External"/><Relationship Id="rId20" Type="http://schemas.openxmlformats.org/officeDocument/2006/relationships/hyperlink" Target="https://login.consultant.ru/link/?req=doc&amp;base=LAW&amp;n=462834&amp;date=29.08.2025&amp;dst=105009&amp;field=134&amp;demo=2" TargetMode = "External"/><Relationship Id="rId21" Type="http://schemas.openxmlformats.org/officeDocument/2006/relationships/hyperlink" Target="https://login.consultant.ru/link/?req=doc&amp;base=LAW&amp;n=462834&amp;date=29.08.2025&amp;dst=105010&amp;field=134&amp;demo=2" TargetMode = "External"/><Relationship Id="rId22" Type="http://schemas.openxmlformats.org/officeDocument/2006/relationships/hyperlink" Target="https://login.consultant.ru/link/?req=doc&amp;base=LAW&amp;n=462834&amp;date=29.08.2025&amp;dst=105012&amp;field=134&amp;demo=2" TargetMode = "External"/><Relationship Id="rId23" Type="http://schemas.openxmlformats.org/officeDocument/2006/relationships/hyperlink" Target="https://login.consultant.ru/link/?req=doc&amp;base=LAW&amp;n=462834&amp;date=29.08.2025&amp;dst=105016&amp;field=134&amp;demo=2" TargetMode = "External"/><Relationship Id="rId24" Type="http://schemas.openxmlformats.org/officeDocument/2006/relationships/hyperlink" Target="https://login.consultant.ru/link/?req=doc&amp;base=LAW&amp;n=462834&amp;date=29.08.2025&amp;dst=105017&amp;field=134&amp;demo=2" TargetMode = "External"/><Relationship Id="rId25" Type="http://schemas.openxmlformats.org/officeDocument/2006/relationships/hyperlink" Target="https://login.consultant.ru/link/?req=doc&amp;base=LAW&amp;n=462834&amp;date=29.08.2025&amp;dst=104702&amp;field=134&amp;demo=2" TargetMode = "External"/><Relationship Id="rId26" Type="http://schemas.openxmlformats.org/officeDocument/2006/relationships/hyperlink" Target="https://login.consultant.ru/link/?req=doc&amp;base=LAW&amp;n=462834&amp;date=29.08.2025&amp;dst=106602&amp;field=134&amp;demo=2" TargetMode = "External"/><Relationship Id="rId27" Type="http://schemas.openxmlformats.org/officeDocument/2006/relationships/hyperlink" Target="https://login.consultant.ru/link/?req=doc&amp;base=LAW&amp;n=462834&amp;date=29.08.2025&amp;dst=3418&amp;field=134&amp;demo=2" TargetMode = "External"/><Relationship Id="rId28" Type="http://schemas.openxmlformats.org/officeDocument/2006/relationships/hyperlink" Target="https://login.consultant.ru/link/?req=doc&amp;base=LAW&amp;n=462834&amp;date=29.08.2025&amp;dst=106822&amp;field=134&amp;demo=2" TargetMode = "External"/><Relationship Id="rId29" Type="http://schemas.openxmlformats.org/officeDocument/2006/relationships/hyperlink" Target="https://login.consultant.ru/link/?req=doc&amp;base=LAW&amp;n=462834&amp;date=29.08.2025&amp;dst=3422&amp;field=134&amp;demo=2" TargetMode = "External"/><Relationship Id="rId30" Type="http://schemas.openxmlformats.org/officeDocument/2006/relationships/hyperlink" Target="https://login.consultant.ru/link/?req=doc&amp;base=LAW&amp;n=462834&amp;date=29.08.2025&amp;dst=3430&amp;field=134&amp;demo=2" TargetMode = "External"/><Relationship Id="rId31" Type="http://schemas.openxmlformats.org/officeDocument/2006/relationships/hyperlink" Target="https://login.consultant.ru/link/?req=doc&amp;base=LAW&amp;n=462834&amp;date=29.08.2025&amp;dst=3438&amp;field=134&amp;demo=2" TargetMode = "External"/><Relationship Id="rId32" Type="http://schemas.openxmlformats.org/officeDocument/2006/relationships/hyperlink" Target="https://login.consultant.ru/link/?req=doc&amp;base=LAW&amp;n=462834&amp;date=29.08.2025&amp;dst=3446&amp;field=134&amp;demo=2" TargetMode = "External"/><Relationship Id="rId33" Type="http://schemas.openxmlformats.org/officeDocument/2006/relationships/hyperlink" Target="https://login.consultant.ru/link/?req=doc&amp;base=LAW&amp;n=462834&amp;date=29.08.2025&amp;dst=3418&amp;field=134&amp;demo=2" TargetMode = "External"/><Relationship Id="rId34" Type="http://schemas.openxmlformats.org/officeDocument/2006/relationships/hyperlink" Target="https://login.consultant.ru/link/?req=doc&amp;base=LAW&amp;n=462834&amp;date=29.08.2025&amp;dst=417&amp;field=134&amp;demo=2" TargetMode = "External"/><Relationship Id="rId35" Type="http://schemas.openxmlformats.org/officeDocument/2006/relationships/hyperlink" Target="https://login.consultant.ru/link/?req=doc&amp;base=LAW&amp;n=462834&amp;date=29.08.2025&amp;dst=107143&amp;field=134&amp;demo=2" TargetMode = "External"/><Relationship Id="rId36" Type="http://schemas.openxmlformats.org/officeDocument/2006/relationships/hyperlink" Target="https://login.consultant.ru/link/?req=doc&amp;base=LAW&amp;n=462834&amp;date=29.08.2025&amp;dst=111196&amp;field=134&amp;demo=2" TargetMode = "External"/><Relationship Id="rId37" Type="http://schemas.openxmlformats.org/officeDocument/2006/relationships/hyperlink" Target="https://login.consultant.ru/link/?req=doc&amp;base=LAW&amp;n=462834&amp;date=29.08.2025&amp;dst=111212&amp;field=134&amp;demo=2" TargetMode = "External"/><Relationship Id="rId38" Type="http://schemas.openxmlformats.org/officeDocument/2006/relationships/hyperlink" Target="https://login.consultant.ru/link/?req=doc&amp;base=LAW&amp;n=462834&amp;date=29.08.2025&amp;dst=111213&amp;field=134&amp;demo=2" TargetMode = "External"/><Relationship Id="rId39" Type="http://schemas.openxmlformats.org/officeDocument/2006/relationships/hyperlink" Target="https://login.consultant.ru/link/?req=doc&amp;base=LAW&amp;n=462834&amp;date=29.08.2025&amp;dst=3180&amp;field=134&amp;demo=2" TargetMode = "External"/><Relationship Id="rId40" Type="http://schemas.openxmlformats.org/officeDocument/2006/relationships/hyperlink" Target="https://login.consultant.ru/link/?req=doc&amp;base=LAW&amp;n=462834&amp;date=29.08.2025&amp;dst=3181&amp;field=134&amp;demo=2" TargetMode = "External"/><Relationship Id="rId41" Type="http://schemas.openxmlformats.org/officeDocument/2006/relationships/hyperlink" Target="https://login.consultant.ru/link/?req=doc&amp;base=LAW&amp;n=462834&amp;date=29.08.2025&amp;dst=111221&amp;field=134&amp;demo=2" TargetMode = "External"/><Relationship Id="rId42" Type="http://schemas.openxmlformats.org/officeDocument/2006/relationships/hyperlink" Target="https://login.consultant.ru/link/?req=doc&amp;base=LAW&amp;n=462834&amp;date=29.08.2025&amp;dst=111225&amp;field=134&amp;demo=2" TargetMode = "External"/><Relationship Id="rId43" Type="http://schemas.openxmlformats.org/officeDocument/2006/relationships/hyperlink" Target="https://login.consultant.ru/link/?req=doc&amp;base=LAW&amp;n=462834&amp;date=29.08.2025&amp;dst=3624&amp;field=134&amp;demo=2" TargetMode = "External"/><Relationship Id="rId44" Type="http://schemas.openxmlformats.org/officeDocument/2006/relationships/hyperlink" Target="https://login.consultant.ru/link/?req=doc&amp;base=LAW&amp;n=462834&amp;date=29.08.2025&amp;dst=111306&amp;field=134&amp;demo=2" TargetMode = "External"/><Relationship Id="rId45" Type="http://schemas.openxmlformats.org/officeDocument/2006/relationships/hyperlink" Target="https://login.consultant.ru/link/?req=doc&amp;base=LAW&amp;n=462834&amp;date=29.08.2025&amp;dst=111308&amp;field=134&amp;demo=2" TargetMode = "External"/><Relationship Id="rId46" Type="http://schemas.openxmlformats.org/officeDocument/2006/relationships/hyperlink" Target="https://login.consultant.ru/link/?req=doc&amp;base=LAW&amp;n=462834&amp;date=29.08.2025&amp;dst=111324&amp;field=134&amp;demo=2" TargetMode = "External"/><Relationship Id="rId47" Type="http://schemas.openxmlformats.org/officeDocument/2006/relationships/hyperlink" Target="https://login.consultant.ru/link/?req=doc&amp;base=LAW&amp;n=462834&amp;date=29.08.2025&amp;dst=3630&amp;field=134&amp;demo=2" TargetMode = "External"/><Relationship Id="rId48" Type="http://schemas.openxmlformats.org/officeDocument/2006/relationships/hyperlink" Target="https://login.consultant.ru/link/?req=doc&amp;base=LAW&amp;n=462834&amp;date=29.08.2025&amp;dst=3630&amp;field=134&amp;demo=2" TargetMode = "External"/><Relationship Id="rId49" Type="http://schemas.openxmlformats.org/officeDocument/2006/relationships/hyperlink" Target="https://login.consultant.ru/link/?req=doc&amp;base=LAW&amp;n=462834&amp;date=29.08.2025&amp;dst=3631&amp;field=134&amp;demo=2" TargetMode = "External"/><Relationship Id="rId50" Type="http://schemas.openxmlformats.org/officeDocument/2006/relationships/hyperlink" Target="https://login.consultant.ru/link/?req=doc&amp;base=LAW&amp;n=462834&amp;date=29.08.2025&amp;dst=3197&amp;field=134&amp;demo=2" TargetMode = "External"/><Relationship Id="rId51" Type="http://schemas.openxmlformats.org/officeDocument/2006/relationships/hyperlink" Target="https://login.consultant.ru/link/?req=doc&amp;base=LAW&amp;n=462834&amp;date=29.08.2025&amp;dst=3198&amp;field=134&amp;demo=2" TargetMode = "External"/><Relationship Id="rId52" Type="http://schemas.openxmlformats.org/officeDocument/2006/relationships/hyperlink" Target="https://login.consultant.ru/link/?req=doc&amp;base=LAW&amp;n=462834&amp;date=29.08.2025&amp;dst=3630&amp;field=134&amp;demo=2" TargetMode = "External"/><Relationship Id="rId53" Type="http://schemas.openxmlformats.org/officeDocument/2006/relationships/hyperlink" Target="https://login.consultant.ru/link/?req=doc&amp;base=LAW&amp;n=462834&amp;date=29.08.2025&amp;dst=111334&amp;field=134&amp;demo=2" TargetMode = "External"/><Relationship Id="rId54" Type="http://schemas.openxmlformats.org/officeDocument/2006/relationships/hyperlink" Target="https://login.consultant.ru/link/?req=doc&amp;base=LAW&amp;n=462834&amp;date=29.08.2025&amp;dst=3634&amp;field=134&amp;demo=2" TargetMode = "External"/><Relationship Id="rId55" Type="http://schemas.openxmlformats.org/officeDocument/2006/relationships/hyperlink" Target="https://login.consultant.ru/link/?req=doc&amp;base=LAW&amp;n=462834&amp;date=29.08.2025&amp;dst=3638&amp;field=134&amp;demo=2" TargetMode = "External"/><Relationship Id="rId56" Type="http://schemas.openxmlformats.org/officeDocument/2006/relationships/hyperlink" Target="https://login.consultant.ru/link/?req=doc&amp;base=LAW&amp;n=462834&amp;date=29.08.2025&amp;dst=3634&amp;field=134&amp;demo=2" TargetMode = "External"/><Relationship Id="rId57" Type="http://schemas.openxmlformats.org/officeDocument/2006/relationships/hyperlink" Target="https://login.consultant.ru/link/?req=doc&amp;base=LAW&amp;n=462834&amp;date=29.08.2025&amp;dst=3640&amp;field=134&amp;demo=2" TargetMode = "External"/><Relationship Id="rId58" Type="http://schemas.openxmlformats.org/officeDocument/2006/relationships/hyperlink" Target="https://login.consultant.ru/link/?req=doc&amp;base=LAW&amp;n=462834&amp;date=29.08.2025&amp;dst=3641&amp;field=134&amp;demo=2" TargetMode = "External"/><Relationship Id="rId59" Type="http://schemas.openxmlformats.org/officeDocument/2006/relationships/hyperlink" Target="https://login.consultant.ru/link/?req=doc&amp;base=LAW&amp;n=462834&amp;date=29.08.2025&amp;dst=3199&amp;field=134&amp;demo=2" TargetMode = "External"/><Relationship Id="rId60" Type="http://schemas.openxmlformats.org/officeDocument/2006/relationships/hyperlink" Target="https://login.consultant.ru/link/?req=doc&amp;base=LAW&amp;n=462834&amp;date=29.08.2025&amp;dst=3642&amp;field=134&amp;demo=2" TargetMode = "External"/><Relationship Id="rId61" Type="http://schemas.openxmlformats.org/officeDocument/2006/relationships/hyperlink" Target="https://login.consultant.ru/link/?req=doc&amp;base=LAW&amp;n=462834&amp;date=29.08.2025&amp;dst=111352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foot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Министра обороны РФ от 24.07.2025 N 466
"О внесении изменений в Нормы и Порядок обеспечения воинских частей и организаций Вооруженных Сил Российской Федерации техникой, продукцией общехозяйственного назначения и имуществом продовольственной службы, установленные приказом Министра обороны Российской Федерации от 16 декабря 2020 г. N 686"
(Зарегистрировано в Минюсте России 26.08.2025 N 83326)</dc:title>
  <dcterms:created xsi:type="dcterms:W3CDTF">2025-08-29T13:48:43Z</dcterms:created>
</cp:coreProperties>
</file>