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0"/>
      </w:pPr>
      <w:r>
        <w:rPr>
          <w:sz w:val="24"/>
        </w:rPr>
        <w:t xml:space="preserve">Зарегистрировано в Минюсте России 22 сентября 2025 г. N 83611</w:t>
      </w:r>
    </w:p>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МИНИСТЕРСТВО ФИНАНСОВ РОССИЙСКОЙ ФЕДЕРАЦИИ</w:t>
      </w:r>
    </w:p>
    <w:p>
      <w:pPr>
        <w:pStyle w:val="2"/>
        <w:jc w:val="center"/>
      </w:pPr>
      <w:r>
        <w:rPr>
          <w:sz w:val="24"/>
        </w:rPr>
      </w:r>
    </w:p>
    <w:p>
      <w:pPr>
        <w:pStyle w:val="2"/>
        <w:jc w:val="center"/>
      </w:pPr>
      <w:r>
        <w:rPr>
          <w:sz w:val="24"/>
        </w:rPr>
        <w:t xml:space="preserve">ФЕДЕРАЛЬНАЯ НАЛОГОВАЯ СЛУЖБА</w:t>
      </w:r>
    </w:p>
    <w:p>
      <w:pPr>
        <w:pStyle w:val="2"/>
        <w:jc w:val="center"/>
      </w:pPr>
      <w:r>
        <w:rPr>
          <w:sz w:val="24"/>
        </w:rPr>
      </w:r>
    </w:p>
    <w:p>
      <w:pPr>
        <w:pStyle w:val="2"/>
        <w:jc w:val="center"/>
      </w:pPr>
      <w:r>
        <w:rPr>
          <w:sz w:val="24"/>
        </w:rPr>
        <w:t xml:space="preserve">ПРИКАЗ</w:t>
      </w:r>
    </w:p>
    <w:p>
      <w:pPr>
        <w:pStyle w:val="2"/>
        <w:jc w:val="center"/>
      </w:pPr>
      <w:r>
        <w:rPr>
          <w:sz w:val="24"/>
        </w:rPr>
        <w:t xml:space="preserve">от 20 августа 2025 г. N ЕД-7-21/732@</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ПРИЛОЖЕНИЕ К ПРИКАЗУ ФЕДЕРАЛЬНОЙ НАЛОГОВОЙ СЛУЖБЫ</w:t>
      </w:r>
    </w:p>
    <w:p>
      <w:pPr>
        <w:pStyle w:val="2"/>
        <w:jc w:val="center"/>
      </w:pPr>
      <w:r>
        <w:rPr>
          <w:sz w:val="24"/>
        </w:rPr>
        <w:t xml:space="preserve">ОТ 27.09.2022 N ЕД-7-21/866@</w:t>
      </w:r>
    </w:p>
    <w:p>
      <w:pPr>
        <w:pStyle w:val="0"/>
        <w:jc w:val="both"/>
      </w:pPr>
      <w:r>
        <w:rPr>
          <w:sz w:val="24"/>
        </w:rPr>
      </w:r>
    </w:p>
    <w:p>
      <w:pPr>
        <w:pStyle w:val="0"/>
        <w:ind w:firstLine="540"/>
        <w:jc w:val="both"/>
      </w:pPr>
      <w:r>
        <w:rPr>
          <w:sz w:val="24"/>
        </w:rPr>
        <w:t xml:space="preserve">В соответствии с </w:t>
      </w:r>
      <w:hyperlink w:history="0" r:id="rId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абзацем третьим пункта 3 статьи 52</w:t>
        </w:r>
      </w:hyperlink>
      <w:r>
        <w:rPr>
          <w:sz w:val="24"/>
        </w:rPr>
        <w:t xml:space="preserve"> части первой Налогового кодекса Российской Федерации, </w:t>
      </w:r>
      <w:hyperlink w:history="0" r:id="rId8" w:tooltip="Постановление Правительства РФ от 30.09.2004 N 506 (ред. от 29.05.2025) &quot;Об утверждении Положения о Федеральной налоговой службе&quot; {КонсультантПлюс}">
        <w:r>
          <w:rPr>
            <w:sz w:val="24"/>
            <w:color w:val="0000ff"/>
          </w:rPr>
          <w:t xml:space="preserve">абзацем первым пункта 1</w:t>
        </w:r>
      </w:hyperlink>
      <w:r>
        <w:rPr>
          <w:sz w:val="24"/>
        </w:rPr>
        <w:t xml:space="preserve">, </w:t>
      </w:r>
      <w:hyperlink w:history="0" r:id="rId9" w:tooltip="Постановление Правительства РФ от 30.09.2004 N 506 (ред. от 29.05.2025) &quot;Об утверждении Положения о Федеральной налоговой службе&quot; {КонсультантПлюс}">
        <w:r>
          <w:rPr>
            <w:sz w:val="24"/>
            <w:color w:val="0000ff"/>
          </w:rPr>
          <w:t xml:space="preserve">подпунктом 5.9.1 пункта 5</w:t>
        </w:r>
      </w:hyperlink>
      <w:r>
        <w:rPr>
          <w:sz w:val="24"/>
        </w:rPr>
        <w:t xml:space="preserve"> Положения о Федеральной налоговой службе, утвержденного постановлением Правительства Российской Федерации от 30.09.2004 N 506, в целях обеспечения исполнения налоговыми органами обязанности по формированию и направлению налоговых уведомлений, а также в связи с принятием федеральных законов от 31.07.2023 </w:t>
      </w:r>
      <w:hyperlink w:history="0" r:id="rId10" w:tooltip="Федеральный закон от 31.07.2023 N 389-ФЗ (ред. от 29.10.2024) &quot;О внесении изменений в части первую и вторую Налогового кодекса Российской Федерации, отдельные законодательные акты Российской Федерации и о приостановлении действия абзаца второго пункта 1 статьи 78 части первой Налогового кодекса Российской Федерации&quot; {КонсультантПлюс}">
        <w:r>
          <w:rPr>
            <w:sz w:val="24"/>
            <w:color w:val="0000ff"/>
          </w:rPr>
          <w:t xml:space="preserve">N 389-ФЗ</w:t>
        </w:r>
      </w:hyperlink>
      <w:r>
        <w:rPr>
          <w:sz w:val="24"/>
        </w:rPr>
        <w:t xml:space="preserve"> "О внесении изменений в части первую и вторую Налогового кодекса Российской Федерации, отдельные законодательные акты Российской Федерации и о приостановлении действия абзаца второго пункта 1 статьи 78 части первой Налогового кодекса Российской Федерации", от 23.03.2024 </w:t>
      </w:r>
      <w:hyperlink w:history="0" r:id="rId11" w:tooltip="Федеральный закон от 23.03.2024 N 58-ФЗ (ред. от 08.08.2024) &quot;О внесении изменений в статьи 102 и 126.2 части первой и часть вторую Налогового кодекса Российской Федерации&quot; {КонсультантПлюс}">
        <w:r>
          <w:rPr>
            <w:sz w:val="24"/>
            <w:color w:val="0000ff"/>
          </w:rPr>
          <w:t xml:space="preserve">N 58-ФЗ</w:t>
        </w:r>
      </w:hyperlink>
      <w:r>
        <w:rPr>
          <w:sz w:val="24"/>
        </w:rPr>
        <w:t xml:space="preserve"> "О внесении изменений в статьи 102 и 126.2 части первой и часть вторую Налогового кодекса Российской Федерации", от 12.07.2024 </w:t>
      </w:r>
      <w:hyperlink w:history="0" r:id="rId12" w:tooltip="Федеральный закон от 12.07.2024 N 176-ФЗ (ред. от 12.12.2024)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4"/>
            <w:color w:val="0000ff"/>
          </w:rPr>
          <w:t xml:space="preserve">N 176-ФЗ</w:t>
        </w:r>
      </w:hyperlink>
      <w:r>
        <w:rPr>
          <w:sz w:val="24"/>
        </w:rPr>
        <w:t xml:space="preserve">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 от 08.08.2024 </w:t>
      </w:r>
      <w:hyperlink w:history="0" r:id="rId13"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N 259-ФЗ</w:t>
        </w:r>
      </w:hyperlink>
      <w:r>
        <w:rPr>
          <w:sz w:val="24"/>
        </w:rPr>
        <w:t xml:space="preserve"> "О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 от 31.07.2025 </w:t>
      </w:r>
      <w:hyperlink w:history="0" r:id="rId14" w:tooltip="Федеральный закон от 31.07.2025 N 287-ФЗ &quot;О внесении изменений в часть первую Налогового кодекса Российской Федерации и Федеральный закон &quot;Об исполнительном производстве&quot; {КонсультантПлюс}">
        <w:r>
          <w:rPr>
            <w:sz w:val="24"/>
            <w:color w:val="0000ff"/>
          </w:rPr>
          <w:t xml:space="preserve">N 287-ФЗ</w:t>
        </w:r>
      </w:hyperlink>
      <w:r>
        <w:rPr>
          <w:sz w:val="24"/>
        </w:rPr>
        <w:t xml:space="preserve"> "О внесении изменений в часть первую Налогового кодекса Российской Федерации и Федеральный закон "Об исполнительном производстве" приказываю:</w:t>
      </w:r>
    </w:p>
    <w:p>
      <w:pPr>
        <w:pStyle w:val="0"/>
        <w:spacing w:before="240" w:lineRule="auto"/>
        <w:ind w:firstLine="540"/>
        <w:jc w:val="both"/>
      </w:pPr>
      <w:r>
        <w:rPr>
          <w:sz w:val="24"/>
        </w:rPr>
        <w:t xml:space="preserve">1. Внести в </w:t>
      </w:r>
      <w:hyperlink w:history="0" r:id="rId15" w:tooltip="Приказ ФНС России от 27.09.2022 N ЕД-7-21/866@ (ред. от 28.04.2023) &quot;Об утверждении формы налогового уведомления&quot; (Зарегистрировано в Минюсте России 25.10.2022 N 70687) {КонсультантПлюс}">
        <w:r>
          <w:rPr>
            <w:sz w:val="24"/>
            <w:color w:val="0000ff"/>
          </w:rPr>
          <w:t xml:space="preserve">приложение</w:t>
        </w:r>
      </w:hyperlink>
      <w:r>
        <w:rPr>
          <w:sz w:val="24"/>
        </w:rPr>
        <w:t xml:space="preserve"> "Форма налогового уведомления" к приказу Федеральной налоговой службы от 27.09.2022 N ЕД-7-21/866@ "Об утверждении формы налогового уведомления" (зарегистрирован Министерством юстиции Российской Федерации 25.10.2022, регистрационный N 70687) с изменениями, внесенными приказом Федеральной налоговой службы от 28.04.2023 N ЕД-7-21/292@ (зарегистрирован Министерством юстиции Российской Федерации 05.06.2023, регистрационный N 73749), следующие изменения:</w:t>
      </w:r>
    </w:p>
    <w:p>
      <w:pPr>
        <w:pStyle w:val="0"/>
        <w:spacing w:before="240" w:lineRule="auto"/>
        <w:ind w:firstLine="540"/>
        <w:jc w:val="both"/>
      </w:pPr>
      <w:r>
        <w:rPr>
          <w:sz w:val="24"/>
        </w:rPr>
        <w:t xml:space="preserve">1.1. После </w:t>
      </w:r>
      <w:hyperlink w:history="0" r:id="rId16" w:tooltip="Приказ ФНС России от 27.09.2022 N ЕД-7-21/866@ (ред. от 28.04.2023) &quot;Об утверждении формы налогового уведомления&quot; (Зарегистрировано в Минюсте России 25.10.2022 N 70687) {КонсультантПлюс}">
        <w:r>
          <w:rPr>
            <w:sz w:val="24"/>
            <w:color w:val="0000ff"/>
          </w:rPr>
          <w:t xml:space="preserve">слов</w:t>
        </w:r>
      </w:hyperlink>
      <w:r>
        <w:rPr>
          <w:sz w:val="24"/>
        </w:rPr>
        <w:t xml:space="preserve"> "Контактный телефон: (___) __________" дополнить абзацем следующего содержания:</w:t>
      </w:r>
    </w:p>
    <w:p>
      <w:pPr>
        <w:pStyle w:val="0"/>
        <w:spacing w:before="240" w:lineRule="auto"/>
        <w:ind w:firstLine="540"/>
        <w:jc w:val="both"/>
      </w:pPr>
      <w:r>
        <w:rPr>
          <w:sz w:val="24"/>
        </w:rPr>
        <w:t xml:space="preserve">"При наличии предусмотренных законодательством о налогах и сборах оснований, влекущих перерасчет суммы налога, содержащейся в налоговом уведомлении, Вы вправе представить в налоговый орган по своему выбору заявление о перерасчете суммы ранее исчисленного налога.";</w:t>
      </w:r>
    </w:p>
    <w:p>
      <w:pPr>
        <w:pStyle w:val="0"/>
        <w:spacing w:before="240" w:lineRule="auto"/>
        <w:ind w:firstLine="540"/>
        <w:jc w:val="both"/>
      </w:pPr>
      <w:r>
        <w:rPr>
          <w:sz w:val="24"/>
        </w:rPr>
        <w:t xml:space="preserve">1.2. В таблицах </w:t>
      </w:r>
      <w:hyperlink w:history="0" r:id="rId17" w:tooltip="Приказ ФНС России от 27.09.2022 N ЕД-7-21/866@ (ред. от 28.04.2023) &quot;Об утверждении формы налогового уведомления&quot; (Зарегистрировано в Минюсте России 25.10.2022 N 70687) {КонсультантПлюс}">
        <w:r>
          <w:rPr>
            <w:sz w:val="24"/>
            <w:color w:val="0000ff"/>
          </w:rPr>
          <w:t xml:space="preserve">"РАСЧЕТ ЗЕМЕЛЬНОГО НАЛОГА"</w:t>
        </w:r>
      </w:hyperlink>
      <w:r>
        <w:rPr>
          <w:sz w:val="24"/>
        </w:rPr>
        <w:t xml:space="preserve">, "</w:t>
      </w:r>
      <w:hyperlink w:history="0" r:id="rId18" w:tooltip="Приказ ФНС России от 27.09.2022 N ЕД-7-21/866@ (ред. от 28.04.2023) &quot;Об утверждении формы налогового уведомления&quot; (Зарегистрировано в Минюсте России 25.10.2022 N 70687) {КонсультантПлюс}">
        <w:r>
          <w:rPr>
            <w:sz w:val="24"/>
            <w:color w:val="0000ff"/>
          </w:rPr>
          <w:t xml:space="preserve">ПЕРЕРАСЧЕТ ЗЕМЕЛЬНОГО НАЛОГА</w:t>
        </w:r>
      </w:hyperlink>
      <w:r>
        <w:rPr>
          <w:sz w:val="24"/>
        </w:rPr>
        <w:t xml:space="preserve"> по налоговому уведомлению N _______" слова "(кадастровая стоимость)" исключить;</w:t>
      </w:r>
    </w:p>
    <w:p>
      <w:pPr>
        <w:pStyle w:val="0"/>
        <w:spacing w:before="240" w:lineRule="auto"/>
        <w:ind w:firstLine="540"/>
        <w:jc w:val="both"/>
      </w:pPr>
      <w:r>
        <w:rPr>
          <w:sz w:val="24"/>
        </w:rPr>
        <w:t xml:space="preserve">1.3. После </w:t>
      </w:r>
      <w:hyperlink w:history="0" r:id="rId19" w:tooltip="Приказ ФНС России от 27.09.2022 N ЕД-7-21/866@ (ред. от 28.04.2023) &quot;Об утверждении формы налогового уведомления&quot; (Зарегистрировано в Минюсте России 25.10.2022 N 70687) {КонсультантПлюс}">
        <w:r>
          <w:rPr>
            <w:sz w:val="24"/>
            <w:color w:val="0000ff"/>
          </w:rPr>
          <w:t xml:space="preserve">таблицы</w:t>
        </w:r>
      </w:hyperlink>
      <w:r>
        <w:rPr>
          <w:sz w:val="24"/>
        </w:rPr>
        <w:t xml:space="preserve"> "ПЕРЕРАСЧЕТ НАЛОГА НА ДОХОДЫ ФИЗИЧЕСКИХ ЛИЦ С ДОХОДОВ, СОВОКУПНАЯ СУММА НАЛОГОВЫХ БАЗ ПО КОТОРЫМ ПРЕВЫШАЕТ 5 000 000 РУБЛЕЙ ЗА НАЛОГОВЫЙ ПЕРИОД, по налоговому уведомлению N _______" дополнить таблицами следующего содержания:</w:t>
      </w:r>
    </w:p>
    <w:p>
      <w:pPr>
        <w:pStyle w:val="0"/>
        <w:jc w:val="both"/>
      </w:pPr>
      <w:r>
        <w:rPr>
          <w:sz w:val="24"/>
        </w:rPr>
      </w:r>
    </w:p>
    <w:p>
      <w:pPr>
        <w:pStyle w:val="0"/>
        <w:jc w:val="both"/>
      </w:pPr>
      <w:r>
        <w:rPr>
          <w:sz w:val="24"/>
        </w:rPr>
        <w:t xml:space="preserve">"</w:t>
      </w:r>
    </w:p>
    <w:p>
      <w:pPr>
        <w:spacing w:before="0"/>
        <w:spacing w:after="1"/>
      </w:pP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РАСЧЕТ НАЛОГА НА ДОХОДЫ ФИЗИЧЕСКИХ ЛИЦ ЗА ____ ГОД</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78"/>
        <w:gridCol w:w="1565"/>
        <w:gridCol w:w="1565"/>
        <w:gridCol w:w="1565"/>
        <w:gridCol w:w="1565"/>
      </w:tblGrid>
      <w:tr>
        <w:tc>
          <w:tcPr>
            <w:tcW w:w="2778" w:type="dxa"/>
          </w:tcPr>
          <w:p>
            <w:pPr>
              <w:pStyle w:val="0"/>
              <w:jc w:val="center"/>
            </w:pPr>
            <w:r>
              <w:rPr>
                <w:sz w:val="24"/>
              </w:rPr>
              <w:t xml:space="preserve">Налоговые ставки &lt;9&gt;</w:t>
            </w:r>
          </w:p>
        </w:tc>
        <w:tc>
          <w:tcPr>
            <w:tcW w:w="1565" w:type="dxa"/>
          </w:tcPr>
          <w:p>
            <w:pPr>
              <w:pStyle w:val="0"/>
              <w:jc w:val="center"/>
            </w:pPr>
            <w:r>
              <w:rPr>
                <w:sz w:val="24"/>
              </w:rPr>
              <w:t xml:space="preserve">Налоговая база &lt;10&gt;</w:t>
            </w:r>
          </w:p>
          <w:p>
            <w:pPr>
              <w:pStyle w:val="0"/>
              <w:jc w:val="center"/>
            </w:pPr>
            <w:r>
              <w:rPr>
                <w:sz w:val="24"/>
              </w:rPr>
              <w:t xml:space="preserve">(руб., коп.)</w:t>
            </w:r>
          </w:p>
          <w:p>
            <w:pPr>
              <w:pStyle w:val="0"/>
              <w:jc w:val="center"/>
            </w:pPr>
            <w:r>
              <w:rPr>
                <w:sz w:val="24"/>
              </w:rPr>
              <w:t xml:space="preserve">гр. 2 - гр. 3 + гр. 10</w:t>
            </w:r>
          </w:p>
        </w:tc>
        <w:tc>
          <w:tcPr>
            <w:tcW w:w="1565" w:type="dxa"/>
          </w:tcPr>
          <w:p>
            <w:pPr>
              <w:pStyle w:val="0"/>
              <w:jc w:val="center"/>
            </w:pPr>
            <w:r>
              <w:rPr>
                <w:sz w:val="24"/>
              </w:rPr>
              <w:t xml:space="preserve">Расчетная сумма налога &lt;11&gt;</w:t>
            </w:r>
          </w:p>
          <w:p>
            <w:pPr>
              <w:pStyle w:val="0"/>
              <w:jc w:val="center"/>
            </w:pPr>
            <w:r>
              <w:rPr>
                <w:sz w:val="24"/>
              </w:rPr>
              <w:t xml:space="preserve">(руб.)</w:t>
            </w:r>
          </w:p>
        </w:tc>
        <w:tc>
          <w:tcPr>
            <w:tcW w:w="1565" w:type="dxa"/>
          </w:tcPr>
          <w:p>
            <w:pPr>
              <w:pStyle w:val="0"/>
              <w:jc w:val="center"/>
            </w:pPr>
            <w:r>
              <w:rPr>
                <w:sz w:val="24"/>
              </w:rPr>
              <w:t xml:space="preserve">Исчислено налога</w:t>
            </w:r>
          </w:p>
          <w:p>
            <w:pPr>
              <w:pStyle w:val="0"/>
              <w:jc w:val="center"/>
            </w:pPr>
            <w:r>
              <w:rPr>
                <w:sz w:val="24"/>
              </w:rPr>
              <w:t xml:space="preserve">(руб.)</w:t>
            </w:r>
          </w:p>
          <w:p>
            <w:pPr>
              <w:pStyle w:val="0"/>
              <w:jc w:val="center"/>
            </w:pPr>
            <w:r>
              <w:rPr>
                <w:sz w:val="24"/>
              </w:rPr>
              <w:t xml:space="preserve">гр. 4 - гр. 5</w:t>
            </w:r>
          </w:p>
        </w:tc>
        <w:tc>
          <w:tcPr>
            <w:tcW w:w="1565" w:type="dxa"/>
          </w:tcPr>
          <w:p>
            <w:pPr>
              <w:pStyle w:val="0"/>
              <w:jc w:val="center"/>
            </w:pPr>
            <w:r>
              <w:rPr>
                <w:sz w:val="24"/>
              </w:rPr>
              <w:t xml:space="preserve">Сумма налога к уплате</w:t>
            </w:r>
          </w:p>
          <w:p>
            <w:pPr>
              <w:pStyle w:val="0"/>
              <w:jc w:val="center"/>
            </w:pPr>
            <w:r>
              <w:rPr>
                <w:sz w:val="24"/>
              </w:rPr>
              <w:t xml:space="preserve">(руб.)</w:t>
            </w:r>
          </w:p>
        </w:tc>
      </w:tr>
      <w:tr>
        <w:tc>
          <w:tcPr>
            <w:tcW w:w="2778" w:type="dxa"/>
          </w:tcPr>
          <w:p>
            <w:pPr>
              <w:pStyle w:val="0"/>
            </w:pPr>
            <w:r>
              <w:rPr>
                <w:sz w:val="24"/>
              </w:rPr>
              <w:t xml:space="preserve">По ставкам _____, в том числе:</w:t>
            </w:r>
          </w:p>
        </w:tc>
        <w:tc>
          <w:tcPr>
            <w:tcW w:w="1565" w:type="dxa"/>
          </w:tcPr>
          <w:p>
            <w:pPr>
              <w:pStyle w:val="0"/>
            </w:pPr>
            <w:r>
              <w:rPr>
                <w:sz w:val="24"/>
              </w:rPr>
            </w:r>
          </w:p>
        </w:tc>
        <w:tc>
          <w:tcPr>
            <w:tcW w:w="1565" w:type="dxa"/>
          </w:tcPr>
          <w:p>
            <w:pPr>
              <w:pStyle w:val="0"/>
            </w:pPr>
            <w:r>
              <w:rPr>
                <w:sz w:val="24"/>
              </w:rPr>
            </w:r>
          </w:p>
        </w:tc>
        <w:tc>
          <w:tcPr>
            <w:tcW w:w="1565" w:type="dxa"/>
          </w:tcPr>
          <w:p>
            <w:pPr>
              <w:pStyle w:val="0"/>
            </w:pPr>
            <w:r>
              <w:rPr>
                <w:sz w:val="24"/>
              </w:rPr>
            </w:r>
          </w:p>
        </w:tc>
        <w:tc>
          <w:tcPr>
            <w:tcW w:w="1565" w:type="dxa"/>
          </w:tcPr>
          <w:p>
            <w:pPr>
              <w:pStyle w:val="0"/>
            </w:pPr>
            <w:r>
              <w:rPr>
                <w:sz w:val="24"/>
              </w:rPr>
            </w:r>
          </w:p>
        </w:tc>
      </w:tr>
      <w:tr>
        <w:tc>
          <w:tcPr>
            <w:tcW w:w="2778" w:type="dxa"/>
          </w:tcPr>
          <w:p>
            <w:pPr>
              <w:pStyle w:val="0"/>
            </w:pPr>
            <w:r>
              <w:rPr>
                <w:sz w:val="24"/>
              </w:rPr>
            </w:r>
          </w:p>
        </w:tc>
        <w:tc>
          <w:tcPr>
            <w:tcW w:w="1565" w:type="dxa"/>
          </w:tcPr>
          <w:p>
            <w:pPr>
              <w:pStyle w:val="0"/>
            </w:pPr>
            <w:r>
              <w:rPr>
                <w:sz w:val="24"/>
              </w:rPr>
            </w:r>
          </w:p>
        </w:tc>
        <w:tc>
          <w:tcPr>
            <w:tcW w:w="1565" w:type="dxa"/>
          </w:tcPr>
          <w:p>
            <w:pPr>
              <w:pStyle w:val="0"/>
            </w:pPr>
            <w:r>
              <w:rPr>
                <w:sz w:val="24"/>
              </w:rPr>
            </w:r>
          </w:p>
        </w:tc>
        <w:tc>
          <w:tcPr>
            <w:gridSpan w:val="2"/>
            <w:tcW w:w="3130" w:type="dxa"/>
          </w:tcPr>
          <w:p>
            <w:pPr>
              <w:pStyle w:val="0"/>
            </w:pPr>
            <w:r>
              <w:rPr>
                <w:sz w:val="24"/>
              </w:rPr>
            </w:r>
          </w:p>
        </w:tc>
      </w:tr>
      <w:tr>
        <w:tc>
          <w:tcPr>
            <w:gridSpan w:val="5"/>
            <w:tcW w:w="9038" w:type="dxa"/>
          </w:tcPr>
          <w:p>
            <w:pPr>
              <w:pStyle w:val="0"/>
              <w:jc w:val="center"/>
            </w:pPr>
            <w:r>
              <w:rPr>
                <w:sz w:val="24"/>
              </w:rPr>
              <w:t xml:space="preserve">ДЕТАЛИЗАЦИЯ РАСЧЕТА НАЛОГА НА ДОХОДЫ ФИЗИЧЕСКИХ ЛИЦ</w:t>
            </w:r>
          </w:p>
        </w:tc>
      </w:tr>
      <w:tr>
        <w:tc>
          <w:tcPr>
            <w:tcW w:w="2778" w:type="dxa"/>
          </w:tcPr>
          <w:p>
            <w:pPr>
              <w:pStyle w:val="0"/>
              <w:jc w:val="center"/>
            </w:pPr>
            <w:r>
              <w:rPr>
                <w:sz w:val="24"/>
              </w:rPr>
              <w:t xml:space="preserve">Источник сведений,</w:t>
            </w:r>
          </w:p>
          <w:p>
            <w:pPr>
              <w:pStyle w:val="0"/>
              <w:jc w:val="center"/>
            </w:pPr>
            <w:r>
              <w:rPr>
                <w:sz w:val="24"/>
              </w:rPr>
              <w:t xml:space="preserve">ИНН, КПП,</w:t>
            </w:r>
          </w:p>
          <w:p>
            <w:pPr>
              <w:pStyle w:val="0"/>
              <w:jc w:val="center"/>
            </w:pPr>
            <w:r>
              <w:rPr>
                <w:sz w:val="24"/>
              </w:rPr>
              <w:t xml:space="preserve">налоговые ставки &lt;9&gt;</w:t>
            </w:r>
          </w:p>
        </w:tc>
        <w:tc>
          <w:tcPr>
            <w:tcW w:w="1565" w:type="dxa"/>
          </w:tcPr>
          <w:p>
            <w:pPr>
              <w:pStyle w:val="0"/>
              <w:jc w:val="center"/>
            </w:pPr>
            <w:r>
              <w:rPr>
                <w:sz w:val="24"/>
              </w:rPr>
              <w:t xml:space="preserve">Доход</w:t>
            </w:r>
          </w:p>
          <w:p>
            <w:pPr>
              <w:pStyle w:val="0"/>
              <w:jc w:val="center"/>
            </w:pPr>
            <w:r>
              <w:rPr>
                <w:sz w:val="24"/>
              </w:rPr>
              <w:t xml:space="preserve">(руб., коп.)</w:t>
            </w:r>
          </w:p>
        </w:tc>
        <w:tc>
          <w:tcPr>
            <w:tcW w:w="1565" w:type="dxa"/>
          </w:tcPr>
          <w:p>
            <w:pPr>
              <w:pStyle w:val="0"/>
              <w:jc w:val="center"/>
            </w:pPr>
            <w:r>
              <w:rPr>
                <w:sz w:val="24"/>
              </w:rPr>
              <w:t xml:space="preserve">Расходы, вычеты и необлагаемый доход (руб., коп.)</w:t>
            </w:r>
          </w:p>
        </w:tc>
        <w:tc>
          <w:tcPr>
            <w:tcW w:w="1565" w:type="dxa"/>
          </w:tcPr>
          <w:p>
            <w:pPr>
              <w:pStyle w:val="0"/>
              <w:jc w:val="center"/>
            </w:pPr>
            <w:r>
              <w:rPr>
                <w:sz w:val="24"/>
              </w:rPr>
              <w:t xml:space="preserve">Налог удержанный и подлежащий уплате (руб.)</w:t>
            </w:r>
          </w:p>
        </w:tc>
        <w:tc>
          <w:tcPr>
            <w:tcW w:w="1565" w:type="dxa"/>
          </w:tcPr>
          <w:p>
            <w:pPr>
              <w:pStyle w:val="0"/>
              <w:jc w:val="center"/>
            </w:pPr>
            <w:r>
              <w:rPr>
                <w:sz w:val="24"/>
              </w:rPr>
              <w:t xml:space="preserve">Сумма налога, подлежащая возврату (руб.)</w:t>
            </w:r>
          </w:p>
        </w:tc>
      </w:tr>
      <w:tr>
        <w:tc>
          <w:tcPr>
            <w:tcW w:w="2778" w:type="dxa"/>
          </w:tcPr>
          <w:p>
            <w:pPr>
              <w:pStyle w:val="0"/>
              <w:jc w:val="center"/>
            </w:pPr>
            <w:r>
              <w:rPr>
                <w:sz w:val="24"/>
              </w:rPr>
              <w:t xml:space="preserve">гр. 1</w:t>
            </w:r>
          </w:p>
        </w:tc>
        <w:tc>
          <w:tcPr>
            <w:tcW w:w="1565" w:type="dxa"/>
          </w:tcPr>
          <w:p>
            <w:pPr>
              <w:pStyle w:val="0"/>
              <w:jc w:val="center"/>
            </w:pPr>
            <w:r>
              <w:rPr>
                <w:sz w:val="24"/>
              </w:rPr>
              <w:t xml:space="preserve">гр. 2</w:t>
            </w:r>
          </w:p>
        </w:tc>
        <w:tc>
          <w:tcPr>
            <w:tcW w:w="1565" w:type="dxa"/>
          </w:tcPr>
          <w:p>
            <w:pPr>
              <w:pStyle w:val="0"/>
              <w:jc w:val="center"/>
            </w:pPr>
            <w:r>
              <w:rPr>
                <w:sz w:val="24"/>
              </w:rPr>
              <w:t xml:space="preserve">гр. 3</w:t>
            </w:r>
          </w:p>
        </w:tc>
        <w:tc>
          <w:tcPr>
            <w:tcW w:w="1565" w:type="dxa"/>
          </w:tcPr>
          <w:p>
            <w:pPr>
              <w:pStyle w:val="0"/>
              <w:jc w:val="center"/>
            </w:pPr>
            <w:r>
              <w:rPr>
                <w:sz w:val="24"/>
              </w:rPr>
              <w:t xml:space="preserve">гр. 4</w:t>
            </w:r>
          </w:p>
        </w:tc>
        <w:tc>
          <w:tcPr>
            <w:tcW w:w="1565" w:type="dxa"/>
          </w:tcPr>
          <w:p>
            <w:pPr>
              <w:pStyle w:val="0"/>
              <w:jc w:val="center"/>
            </w:pPr>
            <w:r>
              <w:rPr>
                <w:sz w:val="24"/>
              </w:rPr>
              <w:t xml:space="preserve">гр. 5</w:t>
            </w:r>
          </w:p>
        </w:tc>
      </w:tr>
      <w:tr>
        <w:tc>
          <w:tcPr>
            <w:tcW w:w="2778" w:type="dxa"/>
          </w:tcPr>
          <w:p>
            <w:pPr>
              <w:pStyle w:val="0"/>
            </w:pPr>
            <w:r>
              <w:rPr>
                <w:sz w:val="24"/>
              </w:rPr>
              <w:t xml:space="preserve">По ставкам _____, в том числе:</w:t>
            </w:r>
          </w:p>
        </w:tc>
        <w:tc>
          <w:tcPr>
            <w:tcW w:w="1565" w:type="dxa"/>
          </w:tcPr>
          <w:p>
            <w:pPr>
              <w:pStyle w:val="0"/>
            </w:pPr>
            <w:r>
              <w:rPr>
                <w:sz w:val="24"/>
              </w:rPr>
            </w:r>
          </w:p>
        </w:tc>
        <w:tc>
          <w:tcPr>
            <w:tcW w:w="1565" w:type="dxa"/>
          </w:tcPr>
          <w:p>
            <w:pPr>
              <w:pStyle w:val="0"/>
            </w:pPr>
            <w:r>
              <w:rPr>
                <w:sz w:val="24"/>
              </w:rPr>
            </w:r>
          </w:p>
        </w:tc>
        <w:tc>
          <w:tcPr>
            <w:tcW w:w="1565" w:type="dxa"/>
          </w:tcPr>
          <w:p>
            <w:pPr>
              <w:pStyle w:val="0"/>
            </w:pPr>
            <w:r>
              <w:rPr>
                <w:sz w:val="24"/>
              </w:rPr>
            </w:r>
          </w:p>
        </w:tc>
        <w:tc>
          <w:tcPr>
            <w:tcW w:w="1565" w:type="dxa"/>
          </w:tcPr>
          <w:p>
            <w:pPr>
              <w:pStyle w:val="0"/>
            </w:pPr>
            <w:r>
              <w:rPr>
                <w:sz w:val="24"/>
              </w:rPr>
            </w:r>
          </w:p>
        </w:tc>
      </w:tr>
      <w:tr>
        <w:tc>
          <w:tcPr>
            <w:tcW w:w="2778" w:type="dxa"/>
          </w:tcPr>
          <w:p>
            <w:pPr>
              <w:pStyle w:val="0"/>
            </w:pPr>
            <w:r>
              <w:rPr>
                <w:sz w:val="24"/>
              </w:rPr>
            </w:r>
          </w:p>
        </w:tc>
        <w:tc>
          <w:tcPr>
            <w:tcW w:w="1565" w:type="dxa"/>
          </w:tcPr>
          <w:p>
            <w:pPr>
              <w:pStyle w:val="0"/>
            </w:pPr>
            <w:r>
              <w:rPr>
                <w:sz w:val="24"/>
              </w:rPr>
            </w:r>
          </w:p>
        </w:tc>
        <w:tc>
          <w:tcPr>
            <w:tcW w:w="1565" w:type="dxa"/>
          </w:tcPr>
          <w:p>
            <w:pPr>
              <w:pStyle w:val="0"/>
            </w:pPr>
            <w:r>
              <w:rPr>
                <w:sz w:val="24"/>
              </w:rPr>
            </w:r>
          </w:p>
        </w:tc>
        <w:tc>
          <w:tcPr>
            <w:tcW w:w="1565" w:type="dxa"/>
          </w:tcPr>
          <w:p>
            <w:pPr>
              <w:pStyle w:val="0"/>
            </w:pPr>
            <w:r>
              <w:rPr>
                <w:sz w:val="24"/>
              </w:rPr>
            </w:r>
          </w:p>
        </w:tc>
        <w:tc>
          <w:tcPr>
            <w:tcW w:w="1565"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14"/>
      </w:tblGrid>
      <w:tr>
        <w:tc>
          <w:tcPr>
            <w:tcW w:w="9014" w:type="dxa"/>
            <w:tcBorders>
              <w:top w:val="nil"/>
              <w:left w:val="nil"/>
              <w:bottom w:val="nil"/>
              <w:right w:val="nil"/>
            </w:tcBorders>
          </w:tcPr>
          <w:p>
            <w:pPr>
              <w:pStyle w:val="0"/>
              <w:jc w:val="center"/>
            </w:pPr>
            <w:r>
              <w:rPr>
                <w:sz w:val="24"/>
              </w:rPr>
              <w:t xml:space="preserve">РАСЧЕТ ПРЕВЫШЕНИЯ ПРЕДОСТАВЛЕННОГО ВЫЧЕТА ПО НАЛОГУ НА ДОХОДЫ ФИЗИЧЕСКИХ ЛИЦ НАД УСТАНОВЛЕННЫМ РАЗМЕРОМ ЗА ____ ГОД</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78"/>
        <w:gridCol w:w="1644"/>
        <w:gridCol w:w="1534"/>
        <w:gridCol w:w="1534"/>
        <w:gridCol w:w="1534"/>
      </w:tblGrid>
      <w:tr>
        <w:tc>
          <w:tcPr>
            <w:tcW w:w="2778" w:type="dxa"/>
          </w:tcPr>
          <w:p>
            <w:pPr>
              <w:pStyle w:val="0"/>
              <w:jc w:val="center"/>
            </w:pPr>
            <w:r>
              <w:rPr>
                <w:sz w:val="24"/>
              </w:rPr>
              <w:t xml:space="preserve">Источник сведений,</w:t>
            </w:r>
          </w:p>
          <w:p>
            <w:pPr>
              <w:pStyle w:val="0"/>
              <w:jc w:val="center"/>
            </w:pPr>
            <w:r>
              <w:rPr>
                <w:sz w:val="24"/>
              </w:rPr>
              <w:t xml:space="preserve">ИНН, КПП,</w:t>
            </w:r>
          </w:p>
          <w:p>
            <w:pPr>
              <w:pStyle w:val="0"/>
              <w:jc w:val="center"/>
            </w:pPr>
            <w:r>
              <w:rPr>
                <w:sz w:val="24"/>
              </w:rPr>
              <w:t xml:space="preserve">налоговые ставки &lt;9&gt;</w:t>
            </w:r>
          </w:p>
        </w:tc>
        <w:tc>
          <w:tcPr>
            <w:tcW w:w="1644" w:type="dxa"/>
          </w:tcPr>
          <w:p>
            <w:pPr>
              <w:pStyle w:val="0"/>
              <w:jc w:val="center"/>
            </w:pPr>
            <w:r>
              <w:rPr>
                <w:sz w:val="24"/>
              </w:rPr>
              <w:t xml:space="preserve">Код вида &lt;12&gt; и наименование вычета, установленное количество месяцев</w:t>
            </w:r>
          </w:p>
        </w:tc>
        <w:tc>
          <w:tcPr>
            <w:tcW w:w="1534" w:type="dxa"/>
          </w:tcPr>
          <w:p>
            <w:pPr>
              <w:pStyle w:val="0"/>
              <w:jc w:val="center"/>
            </w:pPr>
            <w:r>
              <w:rPr>
                <w:sz w:val="24"/>
              </w:rPr>
              <w:t xml:space="preserve">Установленный размер вычета &lt;13&gt;</w:t>
            </w:r>
          </w:p>
          <w:p>
            <w:pPr>
              <w:pStyle w:val="0"/>
              <w:jc w:val="center"/>
            </w:pPr>
            <w:r>
              <w:rPr>
                <w:sz w:val="24"/>
              </w:rPr>
              <w:t xml:space="preserve">(руб., коп.)</w:t>
            </w:r>
          </w:p>
        </w:tc>
        <w:tc>
          <w:tcPr>
            <w:tcW w:w="1534" w:type="dxa"/>
          </w:tcPr>
          <w:p>
            <w:pPr>
              <w:pStyle w:val="0"/>
              <w:jc w:val="center"/>
            </w:pPr>
            <w:r>
              <w:rPr>
                <w:sz w:val="24"/>
              </w:rPr>
              <w:t xml:space="preserve">Сумма предоставленного вычета</w:t>
            </w:r>
          </w:p>
          <w:p>
            <w:pPr>
              <w:pStyle w:val="0"/>
              <w:jc w:val="center"/>
            </w:pPr>
            <w:r>
              <w:rPr>
                <w:sz w:val="24"/>
              </w:rPr>
              <w:t xml:space="preserve">(руб., коп.)</w:t>
            </w:r>
          </w:p>
        </w:tc>
        <w:tc>
          <w:tcPr>
            <w:tcW w:w="1534" w:type="dxa"/>
          </w:tcPr>
          <w:p>
            <w:pPr>
              <w:pStyle w:val="0"/>
              <w:jc w:val="center"/>
            </w:pPr>
            <w:r>
              <w:rPr>
                <w:sz w:val="24"/>
              </w:rPr>
              <w:t xml:space="preserve">Превышение вычета</w:t>
            </w:r>
          </w:p>
          <w:p>
            <w:pPr>
              <w:pStyle w:val="0"/>
              <w:jc w:val="center"/>
            </w:pPr>
            <w:r>
              <w:rPr>
                <w:sz w:val="24"/>
              </w:rPr>
              <w:t xml:space="preserve">(руб., коп.)</w:t>
            </w:r>
          </w:p>
          <w:p>
            <w:pPr>
              <w:pStyle w:val="0"/>
              <w:jc w:val="center"/>
            </w:pPr>
            <w:r>
              <w:rPr>
                <w:sz w:val="24"/>
              </w:rPr>
              <w:t xml:space="preserve">гр. 9 - гр. 8</w:t>
            </w:r>
          </w:p>
        </w:tc>
      </w:tr>
      <w:tr>
        <w:tc>
          <w:tcPr>
            <w:tcW w:w="2778" w:type="dxa"/>
          </w:tcPr>
          <w:p>
            <w:pPr>
              <w:pStyle w:val="0"/>
              <w:jc w:val="center"/>
            </w:pPr>
            <w:r>
              <w:rPr>
                <w:sz w:val="24"/>
              </w:rPr>
              <w:t xml:space="preserve">гр. 6</w:t>
            </w:r>
          </w:p>
        </w:tc>
        <w:tc>
          <w:tcPr>
            <w:tcW w:w="1644" w:type="dxa"/>
          </w:tcPr>
          <w:p>
            <w:pPr>
              <w:pStyle w:val="0"/>
              <w:jc w:val="center"/>
            </w:pPr>
            <w:r>
              <w:rPr>
                <w:sz w:val="24"/>
              </w:rPr>
              <w:t xml:space="preserve">гр. 7</w:t>
            </w:r>
          </w:p>
        </w:tc>
        <w:tc>
          <w:tcPr>
            <w:tcW w:w="1534" w:type="dxa"/>
          </w:tcPr>
          <w:p>
            <w:pPr>
              <w:pStyle w:val="0"/>
              <w:jc w:val="center"/>
            </w:pPr>
            <w:r>
              <w:rPr>
                <w:sz w:val="24"/>
              </w:rPr>
              <w:t xml:space="preserve">гр. 8</w:t>
            </w:r>
          </w:p>
        </w:tc>
        <w:tc>
          <w:tcPr>
            <w:tcW w:w="1534" w:type="dxa"/>
          </w:tcPr>
          <w:p>
            <w:pPr>
              <w:pStyle w:val="0"/>
              <w:jc w:val="center"/>
            </w:pPr>
            <w:r>
              <w:rPr>
                <w:sz w:val="24"/>
              </w:rPr>
              <w:t xml:space="preserve">гр. 9</w:t>
            </w:r>
          </w:p>
        </w:tc>
        <w:tc>
          <w:tcPr>
            <w:tcW w:w="1534" w:type="dxa"/>
          </w:tcPr>
          <w:p>
            <w:pPr>
              <w:pStyle w:val="0"/>
              <w:jc w:val="center"/>
            </w:pPr>
            <w:r>
              <w:rPr>
                <w:sz w:val="24"/>
              </w:rPr>
              <w:t xml:space="preserve">гр. 10</w:t>
            </w:r>
          </w:p>
        </w:tc>
      </w:tr>
      <w:tr>
        <w:tc>
          <w:tcPr>
            <w:tcW w:w="2778" w:type="dxa"/>
          </w:tcPr>
          <w:p>
            <w:pPr>
              <w:pStyle w:val="0"/>
            </w:pPr>
            <w:r>
              <w:rPr>
                <w:sz w:val="24"/>
              </w:rPr>
            </w:r>
          </w:p>
        </w:tc>
        <w:tc>
          <w:tcPr>
            <w:tcW w:w="1644" w:type="dxa"/>
          </w:tcPr>
          <w:p>
            <w:pPr>
              <w:pStyle w:val="0"/>
            </w:pPr>
            <w:r>
              <w:rPr>
                <w:sz w:val="24"/>
              </w:rPr>
            </w:r>
          </w:p>
        </w:tc>
        <w:tc>
          <w:tcPr>
            <w:tcW w:w="1534" w:type="dxa"/>
          </w:tcPr>
          <w:p>
            <w:pPr>
              <w:pStyle w:val="0"/>
            </w:pPr>
            <w:r>
              <w:rPr>
                <w:sz w:val="24"/>
              </w:rPr>
            </w:r>
          </w:p>
        </w:tc>
        <w:tc>
          <w:tcPr>
            <w:tcW w:w="1534" w:type="dxa"/>
          </w:tcPr>
          <w:p>
            <w:pPr>
              <w:pStyle w:val="0"/>
            </w:pPr>
            <w:r>
              <w:rPr>
                <w:sz w:val="24"/>
              </w:rPr>
            </w:r>
          </w:p>
        </w:tc>
        <w:tc>
          <w:tcPr>
            <w:tcW w:w="1534"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ПЕРЕРАСЧЕТ НАЛОГА НА ДОХОДЫ ФИЗИЧЕСКИХ ЛИЦ ЗА ____ ГОД</w:t>
            </w:r>
          </w:p>
          <w:p>
            <w:pPr>
              <w:pStyle w:val="0"/>
              <w:jc w:val="center"/>
            </w:pPr>
            <w:r>
              <w:rPr>
                <w:sz w:val="24"/>
              </w:rPr>
              <w:t xml:space="preserve">по налоговому уведомлению N _________</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78"/>
        <w:gridCol w:w="1565"/>
        <w:gridCol w:w="1565"/>
        <w:gridCol w:w="1565"/>
        <w:gridCol w:w="1565"/>
      </w:tblGrid>
      <w:tr>
        <w:tc>
          <w:tcPr>
            <w:tcW w:w="2778" w:type="dxa"/>
            <w:vMerge w:val="restart"/>
          </w:tcPr>
          <w:p>
            <w:pPr>
              <w:pStyle w:val="0"/>
              <w:jc w:val="center"/>
            </w:pPr>
            <w:r>
              <w:rPr>
                <w:sz w:val="24"/>
              </w:rPr>
              <w:t xml:space="preserve">Перерасчет налога</w:t>
            </w:r>
          </w:p>
        </w:tc>
        <w:tc>
          <w:tcPr>
            <w:tcW w:w="1565" w:type="dxa"/>
          </w:tcPr>
          <w:p>
            <w:pPr>
              <w:pStyle w:val="0"/>
              <w:jc w:val="center"/>
            </w:pPr>
            <w:r>
              <w:rPr>
                <w:sz w:val="24"/>
              </w:rPr>
              <w:t xml:space="preserve">Налоговые ставки &lt;9&gt;</w:t>
            </w:r>
          </w:p>
        </w:tc>
        <w:tc>
          <w:tcPr>
            <w:tcW w:w="1565" w:type="dxa"/>
          </w:tcPr>
          <w:p>
            <w:pPr>
              <w:pStyle w:val="0"/>
              <w:jc w:val="center"/>
            </w:pPr>
            <w:r>
              <w:rPr>
                <w:sz w:val="24"/>
              </w:rPr>
              <w:t xml:space="preserve">Сумма налога к уплате (руб.)</w:t>
            </w:r>
          </w:p>
        </w:tc>
        <w:tc>
          <w:tcPr>
            <w:tcW w:w="1565" w:type="dxa"/>
          </w:tcPr>
          <w:p>
            <w:pPr>
              <w:pStyle w:val="0"/>
              <w:jc w:val="center"/>
            </w:pPr>
            <w:r>
              <w:rPr>
                <w:sz w:val="24"/>
              </w:rPr>
              <w:t xml:space="preserve">Сумма ранее исчисленного налога (руб.)</w:t>
            </w:r>
          </w:p>
        </w:tc>
        <w:tc>
          <w:tcPr>
            <w:tcW w:w="1565" w:type="dxa"/>
          </w:tcPr>
          <w:p>
            <w:pPr>
              <w:pStyle w:val="0"/>
              <w:jc w:val="center"/>
            </w:pPr>
            <w:r>
              <w:rPr>
                <w:sz w:val="24"/>
              </w:rPr>
              <w:t xml:space="preserve">Сумма налога к доплате (+), к уменьшению (-) (руб.)</w:t>
            </w:r>
          </w:p>
        </w:tc>
      </w:tr>
      <w:tr>
        <w:tc>
          <w:tcPr>
            <w:vMerge w:val="continue"/>
          </w:tcPr>
          <w:p/>
        </w:tc>
        <w:tc>
          <w:tcPr>
            <w:tcW w:w="1565" w:type="dxa"/>
          </w:tcPr>
          <w:p>
            <w:pPr>
              <w:pStyle w:val="0"/>
              <w:jc w:val="center"/>
            </w:pPr>
            <w:r>
              <w:rPr>
                <w:sz w:val="24"/>
              </w:rPr>
              <w:t xml:space="preserve">Всего по ставкам</w:t>
            </w:r>
          </w:p>
        </w:tc>
        <w:tc>
          <w:tcPr>
            <w:tcW w:w="1565" w:type="dxa"/>
          </w:tcPr>
          <w:p>
            <w:pPr>
              <w:pStyle w:val="0"/>
            </w:pPr>
            <w:r>
              <w:rPr>
                <w:sz w:val="24"/>
              </w:rPr>
            </w:r>
          </w:p>
        </w:tc>
        <w:tc>
          <w:tcPr>
            <w:tcW w:w="1565" w:type="dxa"/>
          </w:tcPr>
          <w:p>
            <w:pPr>
              <w:pStyle w:val="0"/>
            </w:pPr>
            <w:r>
              <w:rPr>
                <w:sz w:val="24"/>
              </w:rPr>
            </w:r>
          </w:p>
        </w:tc>
        <w:tc>
          <w:tcPr>
            <w:tcW w:w="1565" w:type="dxa"/>
          </w:tcPr>
          <w:p>
            <w:pPr>
              <w:pStyle w:val="0"/>
            </w:pPr>
            <w:r>
              <w:rPr>
                <w:sz w:val="24"/>
              </w:rPr>
            </w:r>
          </w:p>
        </w:tc>
      </w:tr>
      <w:tr>
        <w:tc>
          <w:tcPr>
            <w:vMerge w:val="continue"/>
          </w:tcPr>
          <w:p/>
        </w:tc>
        <w:tc>
          <w:tcPr>
            <w:tcW w:w="1565" w:type="dxa"/>
          </w:tcPr>
          <w:p>
            <w:pPr>
              <w:pStyle w:val="0"/>
              <w:jc w:val="center"/>
            </w:pPr>
            <w:r>
              <w:rPr>
                <w:sz w:val="24"/>
              </w:rPr>
              <w:t xml:space="preserve">По ставкам ________</w:t>
            </w:r>
          </w:p>
        </w:tc>
        <w:tc>
          <w:tcPr>
            <w:tcW w:w="1565" w:type="dxa"/>
          </w:tcPr>
          <w:p>
            <w:pPr>
              <w:pStyle w:val="0"/>
            </w:pPr>
            <w:r>
              <w:rPr>
                <w:sz w:val="24"/>
              </w:rPr>
            </w:r>
          </w:p>
        </w:tc>
        <w:tc>
          <w:tcPr>
            <w:tcW w:w="1565" w:type="dxa"/>
          </w:tcPr>
          <w:p>
            <w:pPr>
              <w:pStyle w:val="0"/>
            </w:pPr>
            <w:r>
              <w:rPr>
                <w:sz w:val="24"/>
              </w:rPr>
            </w:r>
          </w:p>
        </w:tc>
        <w:tc>
          <w:tcPr>
            <w:tcW w:w="1565" w:type="dxa"/>
          </w:tcPr>
          <w:p>
            <w:pPr>
              <w:pStyle w:val="0"/>
            </w:pPr>
            <w:r>
              <w:rPr>
                <w:sz w:val="24"/>
              </w:rPr>
            </w:r>
          </w:p>
        </w:tc>
      </w:tr>
      <w:tr>
        <w:tc>
          <w:tcPr>
            <w:gridSpan w:val="5"/>
            <w:tcW w:w="9038" w:type="dxa"/>
          </w:tcPr>
          <w:p>
            <w:pPr>
              <w:pStyle w:val="0"/>
              <w:jc w:val="center"/>
            </w:pPr>
            <w:r>
              <w:rPr>
                <w:sz w:val="24"/>
              </w:rPr>
              <w:t xml:space="preserve">РАСЧЕТ НАЛОГА НА ДОХОДЫ ФИЗИЧЕСКИХ ЛИЦ ЗА ____ ГОД</w:t>
            </w:r>
          </w:p>
        </w:tc>
      </w:tr>
      <w:tr>
        <w:tc>
          <w:tcPr>
            <w:tcW w:w="2778" w:type="dxa"/>
          </w:tcPr>
          <w:p>
            <w:pPr>
              <w:pStyle w:val="0"/>
              <w:jc w:val="center"/>
            </w:pPr>
            <w:r>
              <w:rPr>
                <w:sz w:val="24"/>
              </w:rPr>
              <w:t xml:space="preserve">Налоговые ставки &lt;9&gt;</w:t>
            </w:r>
          </w:p>
        </w:tc>
        <w:tc>
          <w:tcPr>
            <w:tcW w:w="1565" w:type="dxa"/>
          </w:tcPr>
          <w:p>
            <w:pPr>
              <w:pStyle w:val="0"/>
              <w:jc w:val="center"/>
            </w:pPr>
            <w:r>
              <w:rPr>
                <w:sz w:val="24"/>
              </w:rPr>
              <w:t xml:space="preserve">Налоговая база &lt;10&gt;</w:t>
            </w:r>
          </w:p>
          <w:p>
            <w:pPr>
              <w:pStyle w:val="0"/>
              <w:jc w:val="center"/>
            </w:pPr>
            <w:r>
              <w:rPr>
                <w:sz w:val="24"/>
              </w:rPr>
              <w:t xml:space="preserve">(руб., коп.)</w:t>
            </w:r>
          </w:p>
          <w:p>
            <w:pPr>
              <w:pStyle w:val="0"/>
              <w:jc w:val="center"/>
            </w:pPr>
            <w:r>
              <w:rPr>
                <w:sz w:val="24"/>
              </w:rPr>
              <w:t xml:space="preserve">гр. 2 - гр. 3 + гр. 10</w:t>
            </w:r>
          </w:p>
        </w:tc>
        <w:tc>
          <w:tcPr>
            <w:tcW w:w="1565" w:type="dxa"/>
          </w:tcPr>
          <w:p>
            <w:pPr>
              <w:pStyle w:val="0"/>
              <w:jc w:val="center"/>
            </w:pPr>
            <w:r>
              <w:rPr>
                <w:sz w:val="24"/>
              </w:rPr>
              <w:t xml:space="preserve">Расчетная сумма налога &lt;11&gt;</w:t>
            </w:r>
          </w:p>
          <w:p>
            <w:pPr>
              <w:pStyle w:val="0"/>
              <w:jc w:val="center"/>
            </w:pPr>
            <w:r>
              <w:rPr>
                <w:sz w:val="24"/>
              </w:rPr>
              <w:t xml:space="preserve">(руб.)</w:t>
            </w:r>
          </w:p>
        </w:tc>
        <w:tc>
          <w:tcPr>
            <w:tcW w:w="1565" w:type="dxa"/>
          </w:tcPr>
          <w:p>
            <w:pPr>
              <w:pStyle w:val="0"/>
              <w:jc w:val="center"/>
            </w:pPr>
            <w:r>
              <w:rPr>
                <w:sz w:val="24"/>
              </w:rPr>
              <w:t xml:space="preserve">Исчислено налога</w:t>
            </w:r>
          </w:p>
          <w:p>
            <w:pPr>
              <w:pStyle w:val="0"/>
              <w:jc w:val="center"/>
            </w:pPr>
            <w:r>
              <w:rPr>
                <w:sz w:val="24"/>
              </w:rPr>
              <w:t xml:space="preserve">(руб.)</w:t>
            </w:r>
          </w:p>
          <w:p>
            <w:pPr>
              <w:pStyle w:val="0"/>
              <w:jc w:val="center"/>
            </w:pPr>
            <w:r>
              <w:rPr>
                <w:sz w:val="24"/>
              </w:rPr>
              <w:t xml:space="preserve">гр. 4 - гр. 5</w:t>
            </w:r>
          </w:p>
        </w:tc>
        <w:tc>
          <w:tcPr>
            <w:tcW w:w="1565" w:type="dxa"/>
          </w:tcPr>
          <w:p>
            <w:pPr>
              <w:pStyle w:val="0"/>
              <w:jc w:val="center"/>
            </w:pPr>
            <w:r>
              <w:rPr>
                <w:sz w:val="24"/>
              </w:rPr>
              <w:t xml:space="preserve">Сумма налога к уплате</w:t>
            </w:r>
          </w:p>
          <w:p>
            <w:pPr>
              <w:pStyle w:val="0"/>
              <w:jc w:val="center"/>
            </w:pPr>
            <w:r>
              <w:rPr>
                <w:sz w:val="24"/>
              </w:rPr>
              <w:t xml:space="preserve">(руб.)</w:t>
            </w:r>
          </w:p>
        </w:tc>
      </w:tr>
      <w:tr>
        <w:tc>
          <w:tcPr>
            <w:tcW w:w="2778" w:type="dxa"/>
          </w:tcPr>
          <w:p>
            <w:pPr>
              <w:pStyle w:val="0"/>
            </w:pPr>
            <w:r>
              <w:rPr>
                <w:sz w:val="24"/>
              </w:rPr>
              <w:t xml:space="preserve">По ставкам _____, в том числе:</w:t>
            </w:r>
          </w:p>
        </w:tc>
        <w:tc>
          <w:tcPr>
            <w:tcW w:w="1565" w:type="dxa"/>
          </w:tcPr>
          <w:p>
            <w:pPr>
              <w:pStyle w:val="0"/>
            </w:pPr>
            <w:r>
              <w:rPr>
                <w:sz w:val="24"/>
              </w:rPr>
            </w:r>
          </w:p>
        </w:tc>
        <w:tc>
          <w:tcPr>
            <w:tcW w:w="1565" w:type="dxa"/>
          </w:tcPr>
          <w:p>
            <w:pPr>
              <w:pStyle w:val="0"/>
            </w:pPr>
            <w:r>
              <w:rPr>
                <w:sz w:val="24"/>
              </w:rPr>
            </w:r>
          </w:p>
        </w:tc>
        <w:tc>
          <w:tcPr>
            <w:tcW w:w="1565" w:type="dxa"/>
          </w:tcPr>
          <w:p>
            <w:pPr>
              <w:pStyle w:val="0"/>
            </w:pPr>
            <w:r>
              <w:rPr>
                <w:sz w:val="24"/>
              </w:rPr>
            </w:r>
          </w:p>
        </w:tc>
        <w:tc>
          <w:tcPr>
            <w:tcW w:w="1565" w:type="dxa"/>
          </w:tcPr>
          <w:p>
            <w:pPr>
              <w:pStyle w:val="0"/>
            </w:pPr>
            <w:r>
              <w:rPr>
                <w:sz w:val="24"/>
              </w:rPr>
            </w:r>
          </w:p>
        </w:tc>
      </w:tr>
      <w:tr>
        <w:tc>
          <w:tcPr>
            <w:tcW w:w="2778" w:type="dxa"/>
          </w:tcPr>
          <w:p>
            <w:pPr>
              <w:pStyle w:val="0"/>
            </w:pPr>
            <w:r>
              <w:rPr>
                <w:sz w:val="24"/>
              </w:rPr>
            </w:r>
          </w:p>
        </w:tc>
        <w:tc>
          <w:tcPr>
            <w:tcW w:w="1565" w:type="dxa"/>
          </w:tcPr>
          <w:p>
            <w:pPr>
              <w:pStyle w:val="0"/>
            </w:pPr>
            <w:r>
              <w:rPr>
                <w:sz w:val="24"/>
              </w:rPr>
            </w:r>
          </w:p>
        </w:tc>
        <w:tc>
          <w:tcPr>
            <w:tcW w:w="1565" w:type="dxa"/>
          </w:tcPr>
          <w:p>
            <w:pPr>
              <w:pStyle w:val="0"/>
            </w:pPr>
            <w:r>
              <w:rPr>
                <w:sz w:val="24"/>
              </w:rPr>
            </w:r>
          </w:p>
        </w:tc>
        <w:tc>
          <w:tcPr>
            <w:gridSpan w:val="2"/>
            <w:tcW w:w="3130" w:type="dxa"/>
          </w:tcPr>
          <w:p>
            <w:pPr>
              <w:pStyle w:val="0"/>
            </w:pPr>
            <w:r>
              <w:rPr>
                <w:sz w:val="24"/>
              </w:rPr>
            </w:r>
          </w:p>
        </w:tc>
      </w:tr>
      <w:tr>
        <w:tc>
          <w:tcPr>
            <w:gridSpan w:val="5"/>
            <w:tcW w:w="9038" w:type="dxa"/>
          </w:tcPr>
          <w:p>
            <w:pPr>
              <w:pStyle w:val="0"/>
              <w:jc w:val="center"/>
            </w:pPr>
            <w:r>
              <w:rPr>
                <w:sz w:val="24"/>
              </w:rPr>
              <w:t xml:space="preserve">ДЕТАЛИЗАЦИЯ РАСЧЕТА НАЛОГА НА ДОХОДЫ ФИЗИЧЕСКИХ ЛИЦ</w:t>
            </w:r>
          </w:p>
        </w:tc>
      </w:tr>
      <w:tr>
        <w:tc>
          <w:tcPr>
            <w:tcW w:w="2778" w:type="dxa"/>
          </w:tcPr>
          <w:p>
            <w:pPr>
              <w:pStyle w:val="0"/>
              <w:jc w:val="center"/>
            </w:pPr>
            <w:r>
              <w:rPr>
                <w:sz w:val="24"/>
              </w:rPr>
              <w:t xml:space="preserve">Источник сведений,</w:t>
            </w:r>
          </w:p>
          <w:p>
            <w:pPr>
              <w:pStyle w:val="0"/>
              <w:jc w:val="center"/>
            </w:pPr>
            <w:r>
              <w:rPr>
                <w:sz w:val="24"/>
              </w:rPr>
              <w:t xml:space="preserve">ИНН, КПП,</w:t>
            </w:r>
          </w:p>
          <w:p>
            <w:pPr>
              <w:pStyle w:val="0"/>
              <w:jc w:val="center"/>
            </w:pPr>
            <w:r>
              <w:rPr>
                <w:sz w:val="24"/>
              </w:rPr>
              <w:t xml:space="preserve">налоговые ставки &lt;9&gt;</w:t>
            </w:r>
          </w:p>
        </w:tc>
        <w:tc>
          <w:tcPr>
            <w:tcW w:w="1565" w:type="dxa"/>
          </w:tcPr>
          <w:p>
            <w:pPr>
              <w:pStyle w:val="0"/>
              <w:jc w:val="center"/>
            </w:pPr>
            <w:r>
              <w:rPr>
                <w:sz w:val="24"/>
              </w:rPr>
              <w:t xml:space="preserve">Доход</w:t>
            </w:r>
          </w:p>
          <w:p>
            <w:pPr>
              <w:pStyle w:val="0"/>
              <w:jc w:val="center"/>
            </w:pPr>
            <w:r>
              <w:rPr>
                <w:sz w:val="24"/>
              </w:rPr>
              <w:t xml:space="preserve">(руб., коп.)</w:t>
            </w:r>
          </w:p>
        </w:tc>
        <w:tc>
          <w:tcPr>
            <w:tcW w:w="1565" w:type="dxa"/>
          </w:tcPr>
          <w:p>
            <w:pPr>
              <w:pStyle w:val="0"/>
              <w:jc w:val="center"/>
            </w:pPr>
            <w:r>
              <w:rPr>
                <w:sz w:val="24"/>
              </w:rPr>
              <w:t xml:space="preserve">Расходы, вычеты и необлагаемый доход (руб., коп.)</w:t>
            </w:r>
          </w:p>
        </w:tc>
        <w:tc>
          <w:tcPr>
            <w:tcW w:w="1565" w:type="dxa"/>
          </w:tcPr>
          <w:p>
            <w:pPr>
              <w:pStyle w:val="0"/>
              <w:jc w:val="center"/>
            </w:pPr>
            <w:r>
              <w:rPr>
                <w:sz w:val="24"/>
              </w:rPr>
              <w:t xml:space="preserve">Налог удержанный и подлежащий уплате (руб.)</w:t>
            </w:r>
          </w:p>
        </w:tc>
        <w:tc>
          <w:tcPr>
            <w:tcW w:w="1565" w:type="dxa"/>
          </w:tcPr>
          <w:p>
            <w:pPr>
              <w:pStyle w:val="0"/>
              <w:jc w:val="center"/>
            </w:pPr>
            <w:r>
              <w:rPr>
                <w:sz w:val="24"/>
              </w:rPr>
              <w:t xml:space="preserve">Налог к возврату</w:t>
            </w:r>
          </w:p>
          <w:p>
            <w:pPr>
              <w:pStyle w:val="0"/>
              <w:jc w:val="center"/>
            </w:pPr>
            <w:r>
              <w:rPr>
                <w:sz w:val="24"/>
              </w:rPr>
              <w:t xml:space="preserve">(руб.)</w:t>
            </w:r>
          </w:p>
        </w:tc>
      </w:tr>
      <w:tr>
        <w:tc>
          <w:tcPr>
            <w:tcW w:w="2778" w:type="dxa"/>
          </w:tcPr>
          <w:p>
            <w:pPr>
              <w:pStyle w:val="0"/>
              <w:jc w:val="center"/>
            </w:pPr>
            <w:r>
              <w:rPr>
                <w:sz w:val="24"/>
              </w:rPr>
              <w:t xml:space="preserve">гр. 1</w:t>
            </w:r>
          </w:p>
        </w:tc>
        <w:tc>
          <w:tcPr>
            <w:tcW w:w="1565" w:type="dxa"/>
          </w:tcPr>
          <w:p>
            <w:pPr>
              <w:pStyle w:val="0"/>
              <w:jc w:val="center"/>
            </w:pPr>
            <w:r>
              <w:rPr>
                <w:sz w:val="24"/>
              </w:rPr>
              <w:t xml:space="preserve">гр. 2</w:t>
            </w:r>
          </w:p>
        </w:tc>
        <w:tc>
          <w:tcPr>
            <w:tcW w:w="1565" w:type="dxa"/>
          </w:tcPr>
          <w:p>
            <w:pPr>
              <w:pStyle w:val="0"/>
              <w:jc w:val="center"/>
            </w:pPr>
            <w:r>
              <w:rPr>
                <w:sz w:val="24"/>
              </w:rPr>
              <w:t xml:space="preserve">гр. 3</w:t>
            </w:r>
          </w:p>
        </w:tc>
        <w:tc>
          <w:tcPr>
            <w:tcW w:w="1565" w:type="dxa"/>
          </w:tcPr>
          <w:p>
            <w:pPr>
              <w:pStyle w:val="0"/>
              <w:jc w:val="center"/>
            </w:pPr>
            <w:r>
              <w:rPr>
                <w:sz w:val="24"/>
              </w:rPr>
              <w:t xml:space="preserve">гр. 4</w:t>
            </w:r>
          </w:p>
        </w:tc>
        <w:tc>
          <w:tcPr>
            <w:tcW w:w="1565" w:type="dxa"/>
          </w:tcPr>
          <w:p>
            <w:pPr>
              <w:pStyle w:val="0"/>
              <w:jc w:val="center"/>
            </w:pPr>
            <w:r>
              <w:rPr>
                <w:sz w:val="24"/>
              </w:rPr>
              <w:t xml:space="preserve">гр. 5</w:t>
            </w:r>
          </w:p>
        </w:tc>
      </w:tr>
      <w:tr>
        <w:tc>
          <w:tcPr>
            <w:tcW w:w="2778" w:type="dxa"/>
          </w:tcPr>
          <w:p>
            <w:pPr>
              <w:pStyle w:val="0"/>
            </w:pPr>
            <w:r>
              <w:rPr>
                <w:sz w:val="24"/>
              </w:rPr>
              <w:t xml:space="preserve">По ставкам _____, в том числе:</w:t>
            </w:r>
          </w:p>
        </w:tc>
        <w:tc>
          <w:tcPr>
            <w:tcW w:w="1565" w:type="dxa"/>
          </w:tcPr>
          <w:p>
            <w:pPr>
              <w:pStyle w:val="0"/>
            </w:pPr>
            <w:r>
              <w:rPr>
                <w:sz w:val="24"/>
              </w:rPr>
            </w:r>
          </w:p>
        </w:tc>
        <w:tc>
          <w:tcPr>
            <w:tcW w:w="1565" w:type="dxa"/>
          </w:tcPr>
          <w:p>
            <w:pPr>
              <w:pStyle w:val="0"/>
            </w:pPr>
            <w:r>
              <w:rPr>
                <w:sz w:val="24"/>
              </w:rPr>
            </w:r>
          </w:p>
        </w:tc>
        <w:tc>
          <w:tcPr>
            <w:tcW w:w="1565" w:type="dxa"/>
          </w:tcPr>
          <w:p>
            <w:pPr>
              <w:pStyle w:val="0"/>
            </w:pPr>
            <w:r>
              <w:rPr>
                <w:sz w:val="24"/>
              </w:rPr>
            </w:r>
          </w:p>
        </w:tc>
        <w:tc>
          <w:tcPr>
            <w:tcW w:w="1565" w:type="dxa"/>
          </w:tcPr>
          <w:p>
            <w:pPr>
              <w:pStyle w:val="0"/>
            </w:pPr>
            <w:r>
              <w:rPr>
                <w:sz w:val="24"/>
              </w:rPr>
            </w:r>
          </w:p>
        </w:tc>
      </w:tr>
      <w:tr>
        <w:tc>
          <w:tcPr>
            <w:tcW w:w="2778" w:type="dxa"/>
          </w:tcPr>
          <w:p>
            <w:pPr>
              <w:pStyle w:val="0"/>
            </w:pPr>
            <w:r>
              <w:rPr>
                <w:sz w:val="24"/>
              </w:rPr>
            </w:r>
          </w:p>
        </w:tc>
        <w:tc>
          <w:tcPr>
            <w:tcW w:w="1565" w:type="dxa"/>
          </w:tcPr>
          <w:p>
            <w:pPr>
              <w:pStyle w:val="0"/>
            </w:pPr>
            <w:r>
              <w:rPr>
                <w:sz w:val="24"/>
              </w:rPr>
            </w:r>
          </w:p>
        </w:tc>
        <w:tc>
          <w:tcPr>
            <w:tcW w:w="1565" w:type="dxa"/>
          </w:tcPr>
          <w:p>
            <w:pPr>
              <w:pStyle w:val="0"/>
            </w:pPr>
            <w:r>
              <w:rPr>
                <w:sz w:val="24"/>
              </w:rPr>
            </w:r>
          </w:p>
        </w:tc>
        <w:tc>
          <w:tcPr>
            <w:tcW w:w="1565" w:type="dxa"/>
          </w:tcPr>
          <w:p>
            <w:pPr>
              <w:pStyle w:val="0"/>
            </w:pPr>
            <w:r>
              <w:rPr>
                <w:sz w:val="24"/>
              </w:rPr>
            </w:r>
          </w:p>
        </w:tc>
        <w:tc>
          <w:tcPr>
            <w:tcW w:w="1565" w:type="dxa"/>
          </w:tcPr>
          <w:p>
            <w:pPr>
              <w:pStyle w:val="0"/>
            </w:pPr>
            <w:r>
              <w:rPr>
                <w:sz w:val="24"/>
              </w:rPr>
            </w:r>
          </w:p>
        </w:tc>
      </w:tr>
    </w:tbl>
    <w:p>
      <w:pPr>
        <w:pStyle w:val="0"/>
        <w:jc w:val="right"/>
      </w:pPr>
      <w:r>
        <w:rPr>
          <w:sz w:val="24"/>
        </w:rPr>
        <w:t xml:space="preserve">"</w:t>
      </w:r>
    </w:p>
    <w:p>
      <w:pPr>
        <w:pStyle w:val="0"/>
        <w:jc w:val="both"/>
      </w:pPr>
      <w:r>
        <w:rPr>
          <w:sz w:val="24"/>
        </w:rPr>
      </w:r>
    </w:p>
    <w:p>
      <w:pPr>
        <w:pStyle w:val="0"/>
        <w:ind w:firstLine="540"/>
        <w:jc w:val="both"/>
      </w:pPr>
      <w:r>
        <w:rPr>
          <w:sz w:val="24"/>
        </w:rPr>
        <w:t xml:space="preserve">1.4. </w:t>
      </w:r>
      <w:hyperlink w:history="0" r:id="rId20" w:tooltip="Приказ ФНС России от 27.09.2022 N ЕД-7-21/866@ (ред. от 28.04.2023) &quot;Об утверждении формы налогового уведомления&quot; (Зарегистрировано в Минюсте России 25.10.2022 N 70687) {КонсультантПлюс}">
        <w:r>
          <w:rPr>
            <w:sz w:val="24"/>
            <w:color w:val="0000ff"/>
          </w:rPr>
          <w:t xml:space="preserve">Слова</w:t>
        </w:r>
      </w:hyperlink>
      <w:r>
        <w:rPr>
          <w:sz w:val="24"/>
        </w:rPr>
        <w:t xml:space="preserve"> "(с учетом уменьшения на сумму положительного сальдо единого налогового счета в размере ________________ руб.)" исключить;</w:t>
      </w:r>
    </w:p>
    <w:p>
      <w:pPr>
        <w:pStyle w:val="0"/>
        <w:spacing w:before="240" w:lineRule="auto"/>
        <w:ind w:firstLine="540"/>
        <w:jc w:val="both"/>
      </w:pPr>
      <w:r>
        <w:rPr>
          <w:sz w:val="24"/>
        </w:rPr>
        <w:t xml:space="preserve">1.5. </w:t>
      </w:r>
      <w:hyperlink w:history="0" r:id="rId21" w:tooltip="Приказ ФНС России от 27.09.2022 N ЕД-7-21/866@ (ред. от 28.04.2023) &quot;Об утверждении формы налогового уведомления&quot; (Зарегистрировано в Минюсте России 25.10.2022 N 70687) {КонсультантПлюс}">
        <w:r>
          <w:rPr>
            <w:sz w:val="24"/>
            <w:color w:val="0000ff"/>
          </w:rPr>
          <w:t xml:space="preserve">Сноску "2"</w:t>
        </w:r>
      </w:hyperlink>
      <w:r>
        <w:rPr>
          <w:sz w:val="24"/>
        </w:rPr>
        <w:t xml:space="preserve"> изложить в следующей редакции:</w:t>
      </w:r>
    </w:p>
    <w:p>
      <w:pPr>
        <w:pStyle w:val="0"/>
        <w:spacing w:before="240" w:lineRule="auto"/>
        <w:ind w:firstLine="540"/>
        <w:jc w:val="both"/>
      </w:pPr>
      <w:r>
        <w:rPr>
          <w:sz w:val="24"/>
        </w:rPr>
        <w:t xml:space="preserve">"&lt;2&gt; При наличии у налогоплательщика со дня направления ему налогового уведомления положительного сальдо единого налогового счета сумма, формирующая положительное сальдо его единого налогового счета, подлежит зачету в соответствии с </w:t>
      </w:r>
      <w:hyperlink w:history="0" r:id="rId22"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пунктом 8 статьи 78</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1.6. </w:t>
      </w:r>
      <w:hyperlink w:history="0" r:id="rId23" w:tooltip="Приказ ФНС России от 27.09.2022 N ЕД-7-21/866@ (ред. от 28.04.2023) &quot;Об утверждении формы налогового уведомления&quot; (Зарегистрировано в Минюсте России 25.10.2022 N 70687) {КонсультантПлюс}">
        <w:r>
          <w:rPr>
            <w:sz w:val="24"/>
            <w:color w:val="0000ff"/>
          </w:rPr>
          <w:t xml:space="preserve">Дополнить</w:t>
        </w:r>
      </w:hyperlink>
      <w:r>
        <w:rPr>
          <w:sz w:val="24"/>
        </w:rPr>
        <w:t xml:space="preserve"> сносками "9 - 13" следующего содержания:</w:t>
      </w:r>
    </w:p>
    <w:p>
      <w:pPr>
        <w:pStyle w:val="0"/>
        <w:spacing w:before="240" w:lineRule="auto"/>
        <w:ind w:firstLine="540"/>
        <w:jc w:val="both"/>
      </w:pPr>
      <w:r>
        <w:rPr>
          <w:sz w:val="24"/>
        </w:rPr>
        <w:t xml:space="preserve">"&lt;9&gt; Налоговые ставки, определенные в отношении совокупности налоговых баз в соответствии со </w:t>
      </w:r>
      <w:hyperlink w:history="0" r:id="rId24"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статьей 210</w:t>
        </w:r>
      </w:hyperlink>
      <w:r>
        <w:rPr>
          <w:sz w:val="24"/>
        </w:rPr>
        <w:t xml:space="preserve"> Налогового кодекса Российской Федерации по следующим группам: первая группа - в соответствии с </w:t>
      </w:r>
      <w:hyperlink w:history="0" r:id="rId25"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пунктами 1</w:t>
        </w:r>
      </w:hyperlink>
      <w:r>
        <w:rPr>
          <w:sz w:val="24"/>
        </w:rPr>
        <w:t xml:space="preserve">, </w:t>
      </w:r>
      <w:hyperlink w:history="0" r:id="rId26"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3.1 статьи 224</w:t>
        </w:r>
      </w:hyperlink>
      <w:r>
        <w:rPr>
          <w:sz w:val="24"/>
        </w:rPr>
        <w:t xml:space="preserve"> Налогового кодекса Российской Федерации; вторая группа - в соответствии с </w:t>
      </w:r>
      <w:hyperlink w:history="0" r:id="rId27"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пунктом 1.1 статьи 224</w:t>
        </w:r>
      </w:hyperlink>
      <w:r>
        <w:rPr>
          <w:sz w:val="24"/>
        </w:rPr>
        <w:t xml:space="preserve"> Налогового кодекса Российской Федерации; третья группа - в соответствии с </w:t>
      </w:r>
      <w:hyperlink w:history="0" r:id="rId28"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пунктом 1.2 статьи 224</w:t>
        </w:r>
      </w:hyperlink>
      <w:r>
        <w:rPr>
          <w:sz w:val="24"/>
        </w:rPr>
        <w:t xml:space="preserve"> Налогового кодекса Российской Федерации; иные группы - в соответствии с </w:t>
      </w:r>
      <w:hyperlink w:history="0" r:id="rId29"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пунктами 2</w:t>
        </w:r>
      </w:hyperlink>
      <w:r>
        <w:rPr>
          <w:sz w:val="24"/>
        </w:rPr>
        <w:t xml:space="preserve">, </w:t>
      </w:r>
      <w:hyperlink w:history="0" r:id="rId30"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3</w:t>
        </w:r>
      </w:hyperlink>
      <w:r>
        <w:rPr>
          <w:sz w:val="24"/>
        </w:rPr>
        <w:t xml:space="preserve">, </w:t>
      </w:r>
      <w:hyperlink w:history="0" r:id="rId31"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5</w:t>
        </w:r>
      </w:hyperlink>
      <w:r>
        <w:rPr>
          <w:sz w:val="24"/>
        </w:rPr>
        <w:t xml:space="preserve">, </w:t>
      </w:r>
      <w:hyperlink w:history="0" r:id="rId32"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6 статьи 224</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&lt;10&gt; Налоговая база определяется в соответствии со </w:t>
      </w:r>
      <w:hyperlink w:history="0" r:id="rId33"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статьей 210</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&lt;11&gt; Расчетная сумма налога определяется в соответствии со </w:t>
      </w:r>
      <w:hyperlink w:history="0" r:id="rId34"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статьей 225</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&lt;12&gt; Коды видов вычетов определяются в соответствии с </w:t>
      </w:r>
      <w:hyperlink w:history="0" r:id="rId35"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пунктом 1 статьи 230</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&lt;13&gt; Размер вычета определяется в соответствии со </w:t>
      </w:r>
      <w:hyperlink w:history="0" r:id="rId36"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статьями 213.1</w:t>
        </w:r>
      </w:hyperlink>
      <w:r>
        <w:rPr>
          <w:sz w:val="24"/>
        </w:rPr>
        <w:t xml:space="preserve">, </w:t>
      </w:r>
      <w:hyperlink w:history="0" r:id="rId37"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218</w:t>
        </w:r>
      </w:hyperlink>
      <w:r>
        <w:rPr>
          <w:sz w:val="24"/>
        </w:rPr>
        <w:t xml:space="preserve">, </w:t>
      </w:r>
      <w:hyperlink w:history="0" r:id="rId38"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219.1</w:t>
        </w:r>
      </w:hyperlink>
      <w:r>
        <w:rPr>
          <w:sz w:val="24"/>
        </w:rPr>
        <w:t xml:space="preserve">, </w:t>
      </w:r>
      <w:hyperlink w:history="0" r:id="rId39"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219.2</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2. Установить, что настоящий приказ вступает в силу с 1 января 2026 года.</w:t>
      </w:r>
    </w:p>
    <w:p>
      <w:pPr>
        <w:pStyle w:val="0"/>
        <w:spacing w:before="240" w:lineRule="auto"/>
        <w:ind w:firstLine="540"/>
        <w:jc w:val="both"/>
      </w:pPr>
      <w:r>
        <w:rPr>
          <w:sz w:val="24"/>
        </w:rPr>
        <w:t xml:space="preserve">3. Контроль за исполнением настоящего приказа возложить на заместителя руководителя Федеральной налоговой службы, координирующего методологическое обеспечение работы налоговых органов по вопросам исчисления налога на доходы физических лиц, транспортного налога, земельного налога, налога на имущество физических лиц.</w:t>
      </w:r>
    </w:p>
    <w:p>
      <w:pPr>
        <w:pStyle w:val="0"/>
        <w:jc w:val="both"/>
      </w:pPr>
      <w:r>
        <w:rPr>
          <w:sz w:val="24"/>
        </w:rPr>
      </w:r>
    </w:p>
    <w:p>
      <w:pPr>
        <w:pStyle w:val="0"/>
        <w:jc w:val="right"/>
      </w:pPr>
      <w:r>
        <w:rPr>
          <w:sz w:val="24"/>
        </w:rPr>
        <w:t xml:space="preserve">Руководитель</w:t>
      </w:r>
    </w:p>
    <w:p>
      <w:pPr>
        <w:pStyle w:val="0"/>
        <w:jc w:val="right"/>
      </w:pPr>
      <w:r>
        <w:rPr>
          <w:sz w:val="24"/>
        </w:rPr>
        <w:t xml:space="preserve">Федеральной налоговой службы</w:t>
      </w:r>
    </w:p>
    <w:p>
      <w:pPr>
        <w:pStyle w:val="0"/>
        <w:jc w:val="right"/>
      </w:pPr>
      <w:r>
        <w:rPr>
          <w:sz w:val="24"/>
        </w:rPr>
        <w:t xml:space="preserve">Д.В.ЕГОРОВ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ФНС России от 20.08.2025 N ЕД-7-21/732@</w:t>
            <w:br/>
            <w:t>"О внесении изменений в приложение к приказу Федеральной налоговой службы...</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24.09.2025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Приказ ФНС России от 20.08.2025 N ЕД-7-21/732@ "О внесении изменений в приложение к приказу Федеральной налоговой службы...</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24.09.2025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483130&amp;date=24.09.2025&amp;dst=1101&amp;field=134&amp;demo=2" TargetMode = "External"/><Relationship Id="rId8" Type="http://schemas.openxmlformats.org/officeDocument/2006/relationships/hyperlink" Target="https://login.consultant.ru/link/?req=doc&amp;base=LAW&amp;n=506577&amp;date=24.09.2025&amp;dst=97&amp;field=134&amp;demo=2" TargetMode = "External"/><Relationship Id="rId9" Type="http://schemas.openxmlformats.org/officeDocument/2006/relationships/hyperlink" Target="https://login.consultant.ru/link/?req=doc&amp;base=LAW&amp;n=506577&amp;date=24.09.2025&amp;dst=100071&amp;field=134&amp;demo=2" TargetMode = "External"/><Relationship Id="rId10" Type="http://schemas.openxmlformats.org/officeDocument/2006/relationships/hyperlink" Target="https://login.consultant.ru/link/?req=doc&amp;base=LAW&amp;n=489345&amp;date=24.09.2025&amp;demo=2" TargetMode = "External"/><Relationship Id="rId11" Type="http://schemas.openxmlformats.org/officeDocument/2006/relationships/hyperlink" Target="https://login.consultant.ru/link/?req=doc&amp;base=LAW&amp;n=482754&amp;date=24.09.2025&amp;demo=2" TargetMode = "External"/><Relationship Id="rId12" Type="http://schemas.openxmlformats.org/officeDocument/2006/relationships/hyperlink" Target="https://login.consultant.ru/link/?req=doc&amp;base=LAW&amp;n=491974&amp;date=24.09.2025&amp;demo=2" TargetMode = "External"/><Relationship Id="rId13" Type="http://schemas.openxmlformats.org/officeDocument/2006/relationships/hyperlink" Target="https://login.consultant.ru/link/?req=doc&amp;base=LAW&amp;n=482529&amp;date=24.09.2025&amp;demo=2" TargetMode = "External"/><Relationship Id="rId14" Type="http://schemas.openxmlformats.org/officeDocument/2006/relationships/hyperlink" Target="https://login.consultant.ru/link/?req=doc&amp;base=LAW&amp;n=511066&amp;date=24.09.2025&amp;demo=2" TargetMode = "External"/><Relationship Id="rId15" Type="http://schemas.openxmlformats.org/officeDocument/2006/relationships/hyperlink" Target="https://login.consultant.ru/link/?req=doc&amp;base=LAW&amp;n=449043&amp;date=24.09.2025&amp;dst=100022&amp;field=134&amp;demo=2" TargetMode = "External"/><Relationship Id="rId16" Type="http://schemas.openxmlformats.org/officeDocument/2006/relationships/hyperlink" Target="https://login.consultant.ru/link/?req=doc&amp;base=LAW&amp;n=449043&amp;date=24.09.2025&amp;dst=100036&amp;field=134&amp;demo=2" TargetMode = "External"/><Relationship Id="rId17" Type="http://schemas.openxmlformats.org/officeDocument/2006/relationships/hyperlink" Target="https://login.consultant.ru/link/?req=doc&amp;base=LAW&amp;n=449043&amp;date=24.09.2025&amp;dst=100060&amp;field=134&amp;demo=2" TargetMode = "External"/><Relationship Id="rId18" Type="http://schemas.openxmlformats.org/officeDocument/2006/relationships/hyperlink" Target="https://login.consultant.ru/link/?req=doc&amp;base=LAW&amp;n=449043&amp;date=24.09.2025&amp;dst=100072&amp;field=134&amp;demo=2" TargetMode = "External"/><Relationship Id="rId19" Type="http://schemas.openxmlformats.org/officeDocument/2006/relationships/hyperlink" Target="https://login.consultant.ru/link/?req=doc&amp;base=LAW&amp;n=449043&amp;date=24.09.2025&amp;dst=100180&amp;field=134&amp;demo=2" TargetMode = "External"/><Relationship Id="rId20" Type="http://schemas.openxmlformats.org/officeDocument/2006/relationships/hyperlink" Target="https://login.consultant.ru/link/?req=doc&amp;base=LAW&amp;n=449043&amp;date=24.09.2025&amp;dst=100192&amp;field=134&amp;demo=2" TargetMode = "External"/><Relationship Id="rId21" Type="http://schemas.openxmlformats.org/officeDocument/2006/relationships/hyperlink" Target="https://login.consultant.ru/link/?req=doc&amp;base=LAW&amp;n=449043&amp;date=24.09.2025&amp;dst=100196&amp;field=134&amp;demo=2" TargetMode = "External"/><Relationship Id="rId22" Type="http://schemas.openxmlformats.org/officeDocument/2006/relationships/hyperlink" Target="https://login.consultant.ru/link/?req=doc&amp;base=LAW&amp;n=483130&amp;date=24.09.2025&amp;dst=6307&amp;field=134&amp;demo=2" TargetMode = "External"/><Relationship Id="rId23" Type="http://schemas.openxmlformats.org/officeDocument/2006/relationships/hyperlink" Target="https://login.consultant.ru/link/?req=doc&amp;base=LAW&amp;n=449043&amp;date=24.09.2025&amp;dst=100022&amp;field=134&amp;demo=2" TargetMode = "External"/><Relationship Id="rId24" Type="http://schemas.openxmlformats.org/officeDocument/2006/relationships/hyperlink" Target="https://login.consultant.ru/link/?req=doc&amp;base=LAW&amp;n=500016&amp;date=24.09.2025&amp;dst=101116&amp;field=134&amp;demo=2" TargetMode = "External"/><Relationship Id="rId25" Type="http://schemas.openxmlformats.org/officeDocument/2006/relationships/hyperlink" Target="https://login.consultant.ru/link/?req=doc&amp;base=LAW&amp;n=500016&amp;date=24.09.2025&amp;dst=26106&amp;field=134&amp;demo=2" TargetMode = "External"/><Relationship Id="rId26" Type="http://schemas.openxmlformats.org/officeDocument/2006/relationships/hyperlink" Target="https://login.consultant.ru/link/?req=doc&amp;base=LAW&amp;n=500016&amp;date=24.09.2025&amp;dst=26122&amp;field=134&amp;demo=2" TargetMode = "External"/><Relationship Id="rId27" Type="http://schemas.openxmlformats.org/officeDocument/2006/relationships/hyperlink" Target="https://login.consultant.ru/link/?req=doc&amp;base=LAW&amp;n=500016&amp;date=24.09.2025&amp;dst=26113&amp;field=134&amp;demo=2" TargetMode = "External"/><Relationship Id="rId28" Type="http://schemas.openxmlformats.org/officeDocument/2006/relationships/hyperlink" Target="https://login.consultant.ru/link/?req=doc&amp;base=LAW&amp;n=500016&amp;date=24.09.2025&amp;dst=26117&amp;field=134&amp;demo=2" TargetMode = "External"/><Relationship Id="rId29" Type="http://schemas.openxmlformats.org/officeDocument/2006/relationships/hyperlink" Target="https://login.consultant.ru/link/?req=doc&amp;base=LAW&amp;n=500016&amp;date=24.09.2025&amp;dst=101443&amp;field=134&amp;demo=2" TargetMode = "External"/><Relationship Id="rId30" Type="http://schemas.openxmlformats.org/officeDocument/2006/relationships/hyperlink" Target="https://login.consultant.ru/link/?req=doc&amp;base=LAW&amp;n=500016&amp;date=24.09.2025&amp;dst=5578&amp;field=134&amp;demo=2" TargetMode = "External"/><Relationship Id="rId31" Type="http://schemas.openxmlformats.org/officeDocument/2006/relationships/hyperlink" Target="https://login.consultant.ru/link/?req=doc&amp;base=LAW&amp;n=500016&amp;date=24.09.2025&amp;dst=737&amp;field=134&amp;demo=2" TargetMode = "External"/><Relationship Id="rId32" Type="http://schemas.openxmlformats.org/officeDocument/2006/relationships/hyperlink" Target="https://login.consultant.ru/link/?req=doc&amp;base=LAW&amp;n=500016&amp;date=24.09.2025&amp;dst=10875&amp;field=134&amp;demo=2" TargetMode = "External"/><Relationship Id="rId33" Type="http://schemas.openxmlformats.org/officeDocument/2006/relationships/hyperlink" Target="https://login.consultant.ru/link/?req=doc&amp;base=LAW&amp;n=500016&amp;date=24.09.2025&amp;dst=101116&amp;field=134&amp;demo=2" TargetMode = "External"/><Relationship Id="rId34" Type="http://schemas.openxmlformats.org/officeDocument/2006/relationships/hyperlink" Target="https://login.consultant.ru/link/?req=doc&amp;base=LAW&amp;n=500016&amp;date=24.09.2025&amp;dst=101451&amp;field=134&amp;demo=2" TargetMode = "External"/><Relationship Id="rId35" Type="http://schemas.openxmlformats.org/officeDocument/2006/relationships/hyperlink" Target="https://login.consultant.ru/link/?req=doc&amp;base=LAW&amp;n=500016&amp;date=24.09.2025&amp;dst=5782&amp;field=134&amp;demo=2" TargetMode = "External"/><Relationship Id="rId36" Type="http://schemas.openxmlformats.org/officeDocument/2006/relationships/hyperlink" Target="https://login.consultant.ru/link/?req=doc&amp;base=LAW&amp;n=500016&amp;date=24.09.2025&amp;dst=25403&amp;field=134&amp;demo=2" TargetMode = "External"/><Relationship Id="rId37" Type="http://schemas.openxmlformats.org/officeDocument/2006/relationships/hyperlink" Target="https://login.consultant.ru/link/?req=doc&amp;base=LAW&amp;n=500016&amp;date=24.09.2025&amp;dst=101301&amp;field=134&amp;demo=2" TargetMode = "External"/><Relationship Id="rId38" Type="http://schemas.openxmlformats.org/officeDocument/2006/relationships/hyperlink" Target="https://login.consultant.ru/link/?req=doc&amp;base=LAW&amp;n=500016&amp;date=24.09.2025&amp;dst=9540&amp;field=134&amp;demo=2" TargetMode = "External"/><Relationship Id="rId39" Type="http://schemas.openxmlformats.org/officeDocument/2006/relationships/hyperlink" Target="https://login.consultant.ru/link/?req=doc&amp;base=LAW&amp;n=500016&amp;date=24.09.2025&amp;dst=25426&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ФНС России от 20.08.2025 N ЕД-7-21/732@
"О внесении изменений в приложение к приказу Федеральной налоговой службы от 27.09.2022 N ЕД-7-21/866@"
(Зарегистрировано в Минюсте России 22.09.2025 N 83611)</dc:title>
  <dcterms:created xsi:type="dcterms:W3CDTF">2025-09-24T13:04:39Z</dcterms:created>
</cp:coreProperties>
</file>